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heme="minorBidi"/>
          <w:color w:val="auto"/>
          <w:kern w:val="2"/>
          <w:sz w:val="21"/>
          <w:szCs w:val="24"/>
          <w:lang w:val="en-US" w:eastAsia="zh-CN" w:bidi="ar-SA"/>
        </w:rPr>
      </w:pPr>
      <w:r>
        <w:rPr>
          <w:rFonts w:ascii="宋体" w:hAnsi="宋体" w:eastAsia="宋体" w:cstheme="minorBidi"/>
          <w:color w:val="auto"/>
          <w:kern w:val="2"/>
          <w:sz w:val="21"/>
          <w:szCs w:val="24"/>
          <w:lang w:val="en-US" w:eastAsia="zh-CN" w:bidi="ar-SA"/>
        </w:rPr>
        <w:drawing>
          <wp:anchor distT="0" distB="0" distL="114300" distR="114300" simplePos="0" relativeHeight="251664384" behindDoc="1" locked="0" layoutInCell="1" allowOverlap="1">
            <wp:simplePos x="0" y="0"/>
            <wp:positionH relativeFrom="column">
              <wp:posOffset>-1143000</wp:posOffset>
            </wp:positionH>
            <wp:positionV relativeFrom="paragraph">
              <wp:posOffset>-957580</wp:posOffset>
            </wp:positionV>
            <wp:extent cx="7564120" cy="10775315"/>
            <wp:effectExtent l="0" t="0" r="0" b="6985"/>
            <wp:wrapTight wrapText="bothSides">
              <wp:wrapPolygon>
                <wp:start x="0" y="0"/>
                <wp:lineTo x="0" y="21576"/>
                <wp:lineTo x="21542" y="21576"/>
                <wp:lineTo x="21542" y="0"/>
                <wp:lineTo x="0" y="0"/>
              </wp:wrapPolygon>
            </wp:wrapTight>
            <wp:docPr id="8" name="图片 8" descr="第三期封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第三期封皮"/>
                    <pic:cNvPicPr>
                      <a:picLocks noChangeAspect="1"/>
                    </pic:cNvPicPr>
                  </pic:nvPicPr>
                  <pic:blipFill>
                    <a:blip r:embed="rId7"/>
                    <a:stretch>
                      <a:fillRect/>
                    </a:stretch>
                  </pic:blipFill>
                  <pic:spPr>
                    <a:xfrm>
                      <a:off x="0" y="0"/>
                      <a:ext cx="7564120" cy="10775315"/>
                    </a:xfrm>
                    <a:prstGeom prst="rect">
                      <a:avLst/>
                    </a:prstGeom>
                  </pic:spPr>
                </pic:pic>
              </a:graphicData>
            </a:graphic>
          </wp:anchor>
        </w:drawing>
      </w:r>
    </w:p>
    <w:p>
      <w:pPr>
        <w:spacing w:before="0" w:beforeLines="0" w:after="0" w:afterLines="0" w:line="240" w:lineRule="auto"/>
        <w:ind w:left="0" w:leftChars="0" w:right="0" w:rightChars="0" w:firstLine="0" w:firstLineChars="0"/>
        <w:jc w:val="center"/>
        <w:rPr>
          <w:rFonts w:ascii="宋体" w:hAnsi="宋体" w:eastAsia="宋体" w:cstheme="minorBidi"/>
          <w:color w:val="auto"/>
          <w:kern w:val="2"/>
          <w:sz w:val="21"/>
          <w:szCs w:val="24"/>
          <w:lang w:val="en-US" w:eastAsia="zh-CN" w:bidi="ar-SA"/>
        </w:rPr>
        <w:sectPr>
          <w:footerReference r:id="rId3" w:type="default"/>
          <w:pgSz w:w="11906" w:h="16838"/>
          <w:pgMar w:top="1440" w:right="1800" w:bottom="1440" w:left="1800" w:header="851" w:footer="992" w:gutter="0"/>
          <w:pgNumType w:fmt="decimal" w:start="1"/>
          <w:cols w:space="425" w:num="1"/>
          <w:docGrid w:type="lines" w:linePitch="312" w:charSpace="0"/>
        </w:sectPr>
      </w:pPr>
    </w:p>
    <w:sdt>
      <w:sdtPr>
        <w:rPr>
          <w:rFonts w:ascii="宋体" w:hAnsi="宋体" w:eastAsia="宋体" w:cstheme="minorBidi"/>
          <w:color w:val="auto"/>
          <w:kern w:val="2"/>
          <w:sz w:val="28"/>
          <w:szCs w:val="28"/>
          <w:lang w:val="en-US" w:eastAsia="zh-CN" w:bidi="ar-SA"/>
        </w:rPr>
        <w:id w:val="147464393"/>
        <w15:color w:val="DBDBDB"/>
        <w:docPartObj>
          <w:docPartGallery w:val="Table of Contents"/>
          <w:docPartUnique/>
        </w:docPartObj>
      </w:sdtPr>
      <w:sdtEndPr>
        <w:rPr>
          <w:rFonts w:hint="eastAsia" w:asciiTheme="minorHAnsi" w:hAnsiTheme="minorHAnsi" w:eastAsiaTheme="minorEastAsia" w:cstheme="minorBidi"/>
          <w:color w:val="auto"/>
          <w:kern w:val="2"/>
          <w:sz w:val="28"/>
          <w:szCs w:val="28"/>
          <w:lang w:val="en-US" w:eastAsia="zh-CN" w:bidi="ar-SA"/>
        </w:rPr>
      </w:sdtEndPr>
      <w:sdtContent>
        <w:p>
          <w:pPr>
            <w:spacing w:before="0" w:beforeLines="0" w:after="0" w:afterLines="0" w:line="240" w:lineRule="auto"/>
            <w:ind w:left="0" w:leftChars="0" w:right="0" w:rightChars="0" w:firstLine="0" w:firstLineChars="0"/>
            <w:jc w:val="center"/>
            <w:rPr>
              <w:color w:val="auto"/>
              <w:sz w:val="28"/>
              <w:szCs w:val="28"/>
            </w:rPr>
          </w:pPr>
          <w:r>
            <w:rPr>
              <w:rFonts w:ascii="宋体" w:hAnsi="宋体" w:eastAsia="宋体"/>
              <w:b/>
              <w:bCs/>
              <w:color w:val="auto"/>
              <w:sz w:val="28"/>
              <w:szCs w:val="28"/>
            </w:rPr>
            <w:t>目录</w:t>
          </w:r>
        </w:p>
        <w:p>
          <w:pPr>
            <w:pStyle w:val="8"/>
            <w:tabs>
              <w:tab w:val="right" w:leader="dot" w:pos="8306"/>
            </w:tabs>
            <w:rPr>
              <w:sz w:val="28"/>
              <w:szCs w:val="28"/>
            </w:rPr>
          </w:pPr>
          <w:r>
            <w:rPr>
              <w:rFonts w:hint="eastAsia" w:eastAsiaTheme="minorEastAsia"/>
              <w:color w:val="auto"/>
              <w:sz w:val="28"/>
              <w:szCs w:val="28"/>
              <w:lang w:eastAsia="zh-CN"/>
            </w:rPr>
            <w:fldChar w:fldCharType="begin"/>
          </w:r>
          <w:r>
            <w:rPr>
              <w:rFonts w:hint="eastAsia" w:eastAsiaTheme="minorEastAsia"/>
              <w:color w:val="auto"/>
              <w:sz w:val="28"/>
              <w:szCs w:val="28"/>
              <w:lang w:eastAsia="zh-CN"/>
            </w:rPr>
            <w:instrText xml:space="preserve">TOC \o "1-3" \h \u </w:instrText>
          </w:r>
          <w:r>
            <w:rPr>
              <w:rFonts w:hint="eastAsia" w:eastAsiaTheme="minorEastAsia"/>
              <w:color w:val="auto"/>
              <w:sz w:val="28"/>
              <w:szCs w:val="28"/>
              <w:lang w:eastAsia="zh-CN"/>
            </w:rPr>
            <w:fldChar w:fldCharType="separate"/>
          </w: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_Toc28673 </w:instrText>
          </w:r>
          <w:r>
            <w:rPr>
              <w:rFonts w:hint="eastAsia" w:eastAsiaTheme="minorEastAsia"/>
              <w:sz w:val="28"/>
              <w:szCs w:val="28"/>
              <w:lang w:eastAsia="zh-CN"/>
            </w:rPr>
            <w:fldChar w:fldCharType="separate"/>
          </w:r>
          <w:r>
            <w:rPr>
              <w:rFonts w:hint="eastAsia" w:ascii="方正小标宋_GBK" w:hAnsi="方正小标宋_GBK" w:eastAsia="方正小标宋_GBK" w:cs="方正小标宋_GBK"/>
              <w:bCs/>
              <w:sz w:val="28"/>
              <w:szCs w:val="28"/>
              <w:lang w:val="en-US" w:eastAsia="zh-CN"/>
            </w:rPr>
            <w:t>国家宏观经济</w:t>
          </w:r>
          <w:r>
            <w:rPr>
              <w:sz w:val="28"/>
              <w:szCs w:val="28"/>
            </w:rPr>
            <w:tab/>
          </w:r>
          <w:r>
            <w:rPr>
              <w:sz w:val="28"/>
              <w:szCs w:val="28"/>
            </w:rPr>
            <w:fldChar w:fldCharType="begin"/>
          </w:r>
          <w:r>
            <w:rPr>
              <w:sz w:val="28"/>
              <w:szCs w:val="28"/>
            </w:rPr>
            <w:instrText xml:space="preserve"> PAGEREF _Toc28673 </w:instrText>
          </w:r>
          <w:r>
            <w:rPr>
              <w:sz w:val="28"/>
              <w:szCs w:val="28"/>
            </w:rPr>
            <w:fldChar w:fldCharType="separate"/>
          </w:r>
          <w:r>
            <w:rPr>
              <w:sz w:val="28"/>
              <w:szCs w:val="28"/>
            </w:rPr>
            <w:t>1</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_Toc13479 </w:instrText>
          </w:r>
          <w:r>
            <w:rPr>
              <w:rFonts w:hint="eastAsia" w:eastAsiaTheme="minorEastAsia"/>
              <w:sz w:val="28"/>
              <w:szCs w:val="28"/>
              <w:lang w:eastAsia="zh-CN"/>
            </w:rPr>
            <w:fldChar w:fldCharType="separate"/>
          </w:r>
          <w:r>
            <w:rPr>
              <w:rFonts w:hint="eastAsia"/>
              <w:bCs/>
              <w:sz w:val="28"/>
              <w:szCs w:val="28"/>
              <w:lang w:val="en-US" w:eastAsia="zh-CN"/>
            </w:rPr>
            <w:t>一、生产：中上游生产偏强，必需品生产偏弱</w:t>
          </w:r>
          <w:r>
            <w:rPr>
              <w:sz w:val="28"/>
              <w:szCs w:val="28"/>
            </w:rPr>
            <w:tab/>
          </w:r>
          <w:r>
            <w:rPr>
              <w:sz w:val="28"/>
              <w:szCs w:val="28"/>
            </w:rPr>
            <w:fldChar w:fldCharType="begin"/>
          </w:r>
          <w:r>
            <w:rPr>
              <w:sz w:val="28"/>
              <w:szCs w:val="28"/>
            </w:rPr>
            <w:instrText xml:space="preserve"> PAGEREF _Toc13479 </w:instrText>
          </w:r>
          <w:r>
            <w:rPr>
              <w:sz w:val="28"/>
              <w:szCs w:val="28"/>
            </w:rPr>
            <w:fldChar w:fldCharType="separate"/>
          </w:r>
          <w:r>
            <w:rPr>
              <w:sz w:val="28"/>
              <w:szCs w:val="28"/>
            </w:rPr>
            <w:t>1</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_Toc10837 </w:instrText>
          </w:r>
          <w:r>
            <w:rPr>
              <w:rFonts w:hint="eastAsia" w:eastAsiaTheme="minorEastAsia"/>
              <w:sz w:val="28"/>
              <w:szCs w:val="28"/>
              <w:lang w:eastAsia="zh-CN"/>
            </w:rPr>
            <w:fldChar w:fldCharType="separate"/>
          </w:r>
          <w:r>
            <w:rPr>
              <w:rFonts w:hint="eastAsia"/>
              <w:bCs/>
              <w:sz w:val="28"/>
              <w:szCs w:val="28"/>
              <w:lang w:val="en-US" w:eastAsia="zh-CN"/>
            </w:rPr>
            <w:t>二、制造业投资：高位回落，制造业投资仍在修复通道内</w:t>
          </w:r>
          <w:r>
            <w:rPr>
              <w:sz w:val="28"/>
              <w:szCs w:val="28"/>
            </w:rPr>
            <w:tab/>
          </w:r>
          <w:r>
            <w:rPr>
              <w:sz w:val="28"/>
              <w:szCs w:val="28"/>
            </w:rPr>
            <w:fldChar w:fldCharType="begin"/>
          </w:r>
          <w:r>
            <w:rPr>
              <w:sz w:val="28"/>
              <w:szCs w:val="28"/>
            </w:rPr>
            <w:instrText xml:space="preserve"> PAGEREF _Toc10837 </w:instrText>
          </w:r>
          <w:r>
            <w:rPr>
              <w:sz w:val="28"/>
              <w:szCs w:val="28"/>
            </w:rPr>
            <w:fldChar w:fldCharType="separate"/>
          </w:r>
          <w:r>
            <w:rPr>
              <w:sz w:val="28"/>
              <w:szCs w:val="28"/>
            </w:rPr>
            <w:t>1</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_Toc2967 </w:instrText>
          </w:r>
          <w:r>
            <w:rPr>
              <w:rFonts w:hint="eastAsia" w:eastAsiaTheme="minorEastAsia"/>
              <w:sz w:val="28"/>
              <w:szCs w:val="28"/>
              <w:lang w:eastAsia="zh-CN"/>
            </w:rPr>
            <w:fldChar w:fldCharType="separate"/>
          </w:r>
          <w:r>
            <w:rPr>
              <w:rFonts w:hint="eastAsia"/>
              <w:bCs/>
              <w:sz w:val="28"/>
              <w:szCs w:val="28"/>
              <w:lang w:val="en-US" w:eastAsia="zh-CN"/>
            </w:rPr>
            <w:t>三、房地产投资：韧性依旧，支撑力来自于销售热和竣工强</w:t>
          </w:r>
          <w:r>
            <w:rPr>
              <w:sz w:val="28"/>
              <w:szCs w:val="28"/>
            </w:rPr>
            <w:tab/>
          </w:r>
          <w:r>
            <w:rPr>
              <w:sz w:val="28"/>
              <w:szCs w:val="28"/>
            </w:rPr>
            <w:fldChar w:fldCharType="begin"/>
          </w:r>
          <w:r>
            <w:rPr>
              <w:sz w:val="28"/>
              <w:szCs w:val="28"/>
            </w:rPr>
            <w:instrText xml:space="preserve"> PAGEREF _Toc2967 </w:instrText>
          </w:r>
          <w:r>
            <w:rPr>
              <w:sz w:val="28"/>
              <w:szCs w:val="28"/>
            </w:rPr>
            <w:fldChar w:fldCharType="separate"/>
          </w:r>
          <w:r>
            <w:rPr>
              <w:sz w:val="28"/>
              <w:szCs w:val="28"/>
            </w:rPr>
            <w:t>1</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_Toc14689 </w:instrText>
          </w:r>
          <w:r>
            <w:rPr>
              <w:rFonts w:hint="eastAsia" w:eastAsiaTheme="minorEastAsia"/>
              <w:sz w:val="28"/>
              <w:szCs w:val="28"/>
              <w:lang w:eastAsia="zh-CN"/>
            </w:rPr>
            <w:fldChar w:fldCharType="separate"/>
          </w:r>
          <w:r>
            <w:rPr>
              <w:rFonts w:hint="eastAsia"/>
              <w:bCs/>
              <w:sz w:val="28"/>
              <w:szCs w:val="28"/>
              <w:lang w:val="en-US" w:eastAsia="zh-CN"/>
            </w:rPr>
            <w:t>四、基建投资：延续弱势，专项债缺位或导致新开工不足</w:t>
          </w:r>
          <w:r>
            <w:rPr>
              <w:sz w:val="28"/>
              <w:szCs w:val="28"/>
            </w:rPr>
            <w:tab/>
          </w:r>
          <w:r>
            <w:rPr>
              <w:sz w:val="28"/>
              <w:szCs w:val="28"/>
            </w:rPr>
            <w:fldChar w:fldCharType="begin"/>
          </w:r>
          <w:r>
            <w:rPr>
              <w:sz w:val="28"/>
              <w:szCs w:val="28"/>
            </w:rPr>
            <w:instrText xml:space="preserve"> PAGEREF _Toc14689 </w:instrText>
          </w:r>
          <w:r>
            <w:rPr>
              <w:sz w:val="28"/>
              <w:szCs w:val="28"/>
            </w:rPr>
            <w:fldChar w:fldCharType="separate"/>
          </w:r>
          <w:r>
            <w:rPr>
              <w:sz w:val="28"/>
              <w:szCs w:val="28"/>
            </w:rPr>
            <w:t>2</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_Toc12809 </w:instrText>
          </w:r>
          <w:r>
            <w:rPr>
              <w:rFonts w:hint="eastAsia" w:eastAsiaTheme="minorEastAsia"/>
              <w:sz w:val="28"/>
              <w:szCs w:val="28"/>
              <w:lang w:eastAsia="zh-CN"/>
            </w:rPr>
            <w:fldChar w:fldCharType="separate"/>
          </w:r>
          <w:r>
            <w:rPr>
              <w:rFonts w:hint="eastAsia"/>
              <w:bCs/>
              <w:sz w:val="28"/>
              <w:szCs w:val="28"/>
              <w:lang w:val="en-US" w:eastAsia="zh-CN"/>
            </w:rPr>
            <w:t>五、消费：疫情反复与就地过年导致消费整体放缓、结构分化</w:t>
          </w:r>
          <w:r>
            <w:rPr>
              <w:sz w:val="28"/>
              <w:szCs w:val="28"/>
            </w:rPr>
            <w:tab/>
          </w:r>
          <w:r>
            <w:rPr>
              <w:sz w:val="28"/>
              <w:szCs w:val="28"/>
            </w:rPr>
            <w:fldChar w:fldCharType="begin"/>
          </w:r>
          <w:r>
            <w:rPr>
              <w:sz w:val="28"/>
              <w:szCs w:val="28"/>
            </w:rPr>
            <w:instrText xml:space="preserve"> PAGEREF _Toc12809 </w:instrText>
          </w:r>
          <w:r>
            <w:rPr>
              <w:sz w:val="28"/>
              <w:szCs w:val="28"/>
            </w:rPr>
            <w:fldChar w:fldCharType="separate"/>
          </w:r>
          <w:r>
            <w:rPr>
              <w:sz w:val="28"/>
              <w:szCs w:val="28"/>
            </w:rPr>
            <w:t>2</w:t>
          </w:r>
          <w:r>
            <w:rPr>
              <w:sz w:val="28"/>
              <w:szCs w:val="28"/>
            </w:rPr>
            <w:fldChar w:fldCharType="end"/>
          </w:r>
          <w:r>
            <w:rPr>
              <w:rFonts w:hint="eastAsia" w:eastAsiaTheme="minorEastAsia"/>
              <w:color w:val="auto"/>
              <w:sz w:val="28"/>
              <w:szCs w:val="28"/>
              <w:lang w:eastAsia="zh-CN"/>
            </w:rPr>
            <w:fldChar w:fldCharType="end"/>
          </w:r>
        </w:p>
        <w:p>
          <w:pPr>
            <w:pStyle w:val="8"/>
            <w:tabs>
              <w:tab w:val="right" w:leader="dot" w:pos="8306"/>
            </w:tabs>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_Toc7661 </w:instrText>
          </w:r>
          <w:r>
            <w:rPr>
              <w:rFonts w:hint="eastAsia" w:eastAsiaTheme="minorEastAsia"/>
              <w:sz w:val="28"/>
              <w:szCs w:val="28"/>
              <w:lang w:eastAsia="zh-CN"/>
            </w:rPr>
            <w:fldChar w:fldCharType="separate"/>
          </w:r>
          <w:r>
            <w:rPr>
              <w:rFonts w:hint="eastAsia" w:ascii="方正小标宋_GBK" w:hAnsi="方正小标宋_GBK" w:eastAsia="方正小标宋_GBK" w:cs="方正小标宋_GBK"/>
              <w:bCs/>
              <w:sz w:val="28"/>
              <w:szCs w:val="28"/>
              <w:lang w:val="en-US" w:eastAsia="zh-CN"/>
            </w:rPr>
            <w:t>第一章</w:t>
          </w:r>
          <w:r>
            <w:rPr>
              <w:sz w:val="28"/>
              <w:szCs w:val="28"/>
            </w:rPr>
            <w:tab/>
          </w:r>
          <w:r>
            <w:rPr>
              <w:sz w:val="28"/>
              <w:szCs w:val="28"/>
            </w:rPr>
            <w:fldChar w:fldCharType="begin"/>
          </w:r>
          <w:r>
            <w:rPr>
              <w:sz w:val="28"/>
              <w:szCs w:val="28"/>
            </w:rPr>
            <w:instrText xml:space="preserve"> PAGEREF _Toc7661 </w:instrText>
          </w:r>
          <w:r>
            <w:rPr>
              <w:sz w:val="28"/>
              <w:szCs w:val="28"/>
            </w:rPr>
            <w:fldChar w:fldCharType="separate"/>
          </w:r>
          <w:r>
            <w:rPr>
              <w:sz w:val="28"/>
              <w:szCs w:val="28"/>
            </w:rPr>
            <w:t>3</w:t>
          </w:r>
          <w:r>
            <w:rPr>
              <w:sz w:val="28"/>
              <w:szCs w:val="28"/>
            </w:rPr>
            <w:fldChar w:fldCharType="end"/>
          </w:r>
          <w:r>
            <w:rPr>
              <w:rFonts w:hint="eastAsia" w:eastAsiaTheme="minorEastAsia"/>
              <w:color w:val="auto"/>
              <w:sz w:val="28"/>
              <w:szCs w:val="28"/>
              <w:lang w:eastAsia="zh-CN"/>
            </w:rPr>
            <w:fldChar w:fldCharType="end"/>
          </w:r>
        </w:p>
        <w:p>
          <w:pPr>
            <w:pStyle w:val="8"/>
            <w:tabs>
              <w:tab w:val="right" w:leader="dot" w:pos="8306"/>
            </w:tabs>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_Toc1241 </w:instrText>
          </w:r>
          <w:r>
            <w:rPr>
              <w:rFonts w:hint="eastAsia" w:eastAsiaTheme="minorEastAsia"/>
              <w:sz w:val="28"/>
              <w:szCs w:val="28"/>
              <w:lang w:eastAsia="zh-CN"/>
            </w:rPr>
            <w:fldChar w:fldCharType="separate"/>
          </w:r>
          <w:r>
            <w:rPr>
              <w:rFonts w:hint="eastAsia" w:ascii="方正小标宋_GBK" w:hAnsi="方正小标宋_GBK" w:eastAsia="方正小标宋_GBK" w:cs="方正小标宋_GBK"/>
              <w:bCs/>
              <w:sz w:val="28"/>
              <w:szCs w:val="28"/>
              <w:lang w:val="en-US" w:eastAsia="zh-CN"/>
            </w:rPr>
            <w:t>健康旅游已成为增长最快新兴产业</w:t>
          </w:r>
          <w:r>
            <w:rPr>
              <w:sz w:val="28"/>
              <w:szCs w:val="28"/>
            </w:rPr>
            <w:tab/>
          </w:r>
          <w:r>
            <w:rPr>
              <w:sz w:val="28"/>
              <w:szCs w:val="28"/>
            </w:rPr>
            <w:fldChar w:fldCharType="begin"/>
          </w:r>
          <w:r>
            <w:rPr>
              <w:sz w:val="28"/>
              <w:szCs w:val="28"/>
            </w:rPr>
            <w:instrText xml:space="preserve"> PAGEREF _Toc1241 </w:instrText>
          </w:r>
          <w:r>
            <w:rPr>
              <w:sz w:val="28"/>
              <w:szCs w:val="28"/>
            </w:rPr>
            <w:fldChar w:fldCharType="separate"/>
          </w:r>
          <w:r>
            <w:rPr>
              <w:sz w:val="28"/>
              <w:szCs w:val="28"/>
            </w:rPr>
            <w:t>3</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_Toc3006 </w:instrText>
          </w:r>
          <w:r>
            <w:rPr>
              <w:rFonts w:hint="eastAsia" w:eastAsiaTheme="minorEastAsia"/>
              <w:sz w:val="28"/>
              <w:szCs w:val="28"/>
              <w:lang w:eastAsia="zh-CN"/>
            </w:rPr>
            <w:fldChar w:fldCharType="separate"/>
          </w:r>
          <w:r>
            <w:rPr>
              <w:rFonts w:hint="eastAsia"/>
              <w:bCs/>
              <w:sz w:val="28"/>
              <w:szCs w:val="28"/>
              <w:lang w:val="en-US" w:eastAsia="zh-CN"/>
            </w:rPr>
            <w:t>一、国际健康旅游行业发展情况</w:t>
          </w:r>
          <w:r>
            <w:rPr>
              <w:sz w:val="28"/>
              <w:szCs w:val="28"/>
            </w:rPr>
            <w:tab/>
          </w:r>
          <w:r>
            <w:rPr>
              <w:sz w:val="28"/>
              <w:szCs w:val="28"/>
            </w:rPr>
            <w:fldChar w:fldCharType="begin"/>
          </w:r>
          <w:r>
            <w:rPr>
              <w:sz w:val="28"/>
              <w:szCs w:val="28"/>
            </w:rPr>
            <w:instrText xml:space="preserve"> PAGEREF _Toc3006 </w:instrText>
          </w:r>
          <w:r>
            <w:rPr>
              <w:sz w:val="28"/>
              <w:szCs w:val="28"/>
            </w:rPr>
            <w:fldChar w:fldCharType="separate"/>
          </w:r>
          <w:r>
            <w:rPr>
              <w:sz w:val="28"/>
              <w:szCs w:val="28"/>
            </w:rPr>
            <w:t>3</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_Toc20936 </w:instrText>
          </w:r>
          <w:r>
            <w:rPr>
              <w:rFonts w:hint="eastAsia" w:eastAsiaTheme="minorEastAsia"/>
              <w:sz w:val="28"/>
              <w:szCs w:val="28"/>
              <w:lang w:eastAsia="zh-CN"/>
            </w:rPr>
            <w:fldChar w:fldCharType="separate"/>
          </w:r>
          <w:r>
            <w:rPr>
              <w:rFonts w:hint="eastAsia"/>
              <w:bCs/>
              <w:sz w:val="28"/>
              <w:szCs w:val="28"/>
              <w:lang w:val="en-US" w:eastAsia="zh-CN"/>
            </w:rPr>
            <w:t>二、我国健康旅游行业发展现状</w:t>
          </w:r>
          <w:r>
            <w:rPr>
              <w:sz w:val="28"/>
              <w:szCs w:val="28"/>
            </w:rPr>
            <w:tab/>
          </w:r>
          <w:r>
            <w:rPr>
              <w:sz w:val="28"/>
              <w:szCs w:val="28"/>
            </w:rPr>
            <w:fldChar w:fldCharType="begin"/>
          </w:r>
          <w:r>
            <w:rPr>
              <w:sz w:val="28"/>
              <w:szCs w:val="28"/>
            </w:rPr>
            <w:instrText xml:space="preserve"> PAGEREF _Toc20936 </w:instrText>
          </w:r>
          <w:r>
            <w:rPr>
              <w:sz w:val="28"/>
              <w:szCs w:val="28"/>
            </w:rPr>
            <w:fldChar w:fldCharType="separate"/>
          </w:r>
          <w:r>
            <w:rPr>
              <w:sz w:val="28"/>
              <w:szCs w:val="28"/>
            </w:rPr>
            <w:t>4</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_Toc9779 </w:instrText>
          </w:r>
          <w:r>
            <w:rPr>
              <w:rFonts w:hint="eastAsia" w:eastAsiaTheme="minorEastAsia"/>
              <w:sz w:val="28"/>
              <w:szCs w:val="28"/>
              <w:lang w:eastAsia="zh-CN"/>
            </w:rPr>
            <w:fldChar w:fldCharType="separate"/>
          </w:r>
          <w:r>
            <w:rPr>
              <w:rFonts w:hint="eastAsia"/>
              <w:bCs/>
              <w:sz w:val="28"/>
              <w:szCs w:val="28"/>
              <w:lang w:val="en-US" w:eastAsia="zh-CN"/>
            </w:rPr>
            <w:t>三、健康旅游行业市场竞争分析</w:t>
          </w:r>
          <w:r>
            <w:rPr>
              <w:sz w:val="28"/>
              <w:szCs w:val="28"/>
            </w:rPr>
            <w:tab/>
          </w:r>
          <w:r>
            <w:rPr>
              <w:sz w:val="28"/>
              <w:szCs w:val="28"/>
            </w:rPr>
            <w:fldChar w:fldCharType="begin"/>
          </w:r>
          <w:r>
            <w:rPr>
              <w:sz w:val="28"/>
              <w:szCs w:val="28"/>
            </w:rPr>
            <w:instrText xml:space="preserve"> PAGEREF _Toc9779 </w:instrText>
          </w:r>
          <w:r>
            <w:rPr>
              <w:sz w:val="28"/>
              <w:szCs w:val="28"/>
            </w:rPr>
            <w:fldChar w:fldCharType="separate"/>
          </w:r>
          <w:r>
            <w:rPr>
              <w:sz w:val="28"/>
              <w:szCs w:val="28"/>
            </w:rPr>
            <w:t>7</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_Toc13090 </w:instrText>
          </w:r>
          <w:r>
            <w:rPr>
              <w:rFonts w:hint="eastAsia" w:eastAsiaTheme="minorEastAsia"/>
              <w:sz w:val="28"/>
              <w:szCs w:val="28"/>
              <w:lang w:eastAsia="zh-CN"/>
            </w:rPr>
            <w:fldChar w:fldCharType="separate"/>
          </w:r>
          <w:r>
            <w:rPr>
              <w:rFonts w:hint="eastAsia"/>
              <w:bCs/>
              <w:sz w:val="28"/>
              <w:szCs w:val="28"/>
              <w:lang w:val="en-US" w:eastAsia="zh-CN"/>
            </w:rPr>
            <w:t>四、健康旅游行业主要业务模式</w:t>
          </w:r>
          <w:r>
            <w:rPr>
              <w:sz w:val="28"/>
              <w:szCs w:val="28"/>
            </w:rPr>
            <w:tab/>
          </w:r>
          <w:r>
            <w:rPr>
              <w:sz w:val="28"/>
              <w:szCs w:val="28"/>
            </w:rPr>
            <w:fldChar w:fldCharType="begin"/>
          </w:r>
          <w:r>
            <w:rPr>
              <w:sz w:val="28"/>
              <w:szCs w:val="28"/>
            </w:rPr>
            <w:instrText xml:space="preserve"> PAGEREF _Toc13090 </w:instrText>
          </w:r>
          <w:r>
            <w:rPr>
              <w:sz w:val="28"/>
              <w:szCs w:val="28"/>
            </w:rPr>
            <w:fldChar w:fldCharType="separate"/>
          </w:r>
          <w:r>
            <w:rPr>
              <w:sz w:val="28"/>
              <w:szCs w:val="28"/>
            </w:rPr>
            <w:t>7</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_Toc22256 </w:instrText>
          </w:r>
          <w:r>
            <w:rPr>
              <w:rFonts w:hint="eastAsia" w:eastAsiaTheme="minorEastAsia"/>
              <w:sz w:val="28"/>
              <w:szCs w:val="28"/>
              <w:lang w:eastAsia="zh-CN"/>
            </w:rPr>
            <w:fldChar w:fldCharType="separate"/>
          </w:r>
          <w:r>
            <w:rPr>
              <w:rFonts w:hint="eastAsia"/>
              <w:bCs/>
              <w:sz w:val="28"/>
              <w:szCs w:val="28"/>
              <w:lang w:val="en-US" w:eastAsia="zh-CN"/>
            </w:rPr>
            <w:t>五、健康旅游行业发展趋势</w:t>
          </w:r>
          <w:r>
            <w:rPr>
              <w:sz w:val="28"/>
              <w:szCs w:val="28"/>
            </w:rPr>
            <w:tab/>
          </w:r>
          <w:r>
            <w:rPr>
              <w:sz w:val="28"/>
              <w:szCs w:val="28"/>
            </w:rPr>
            <w:fldChar w:fldCharType="begin"/>
          </w:r>
          <w:r>
            <w:rPr>
              <w:sz w:val="28"/>
              <w:szCs w:val="28"/>
            </w:rPr>
            <w:instrText xml:space="preserve"> PAGEREF _Toc22256 </w:instrText>
          </w:r>
          <w:r>
            <w:rPr>
              <w:sz w:val="28"/>
              <w:szCs w:val="28"/>
            </w:rPr>
            <w:fldChar w:fldCharType="separate"/>
          </w:r>
          <w:r>
            <w:rPr>
              <w:sz w:val="28"/>
              <w:szCs w:val="28"/>
            </w:rPr>
            <w:t>9</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_Toc19563 </w:instrText>
          </w:r>
          <w:r>
            <w:rPr>
              <w:rFonts w:hint="eastAsia" w:eastAsiaTheme="minorEastAsia"/>
              <w:sz w:val="28"/>
              <w:szCs w:val="28"/>
              <w:lang w:eastAsia="zh-CN"/>
            </w:rPr>
            <w:fldChar w:fldCharType="separate"/>
          </w:r>
          <w:r>
            <w:rPr>
              <w:rFonts w:hint="eastAsia"/>
              <w:bCs/>
              <w:sz w:val="28"/>
              <w:szCs w:val="28"/>
              <w:lang w:val="en-US" w:eastAsia="zh-CN"/>
            </w:rPr>
            <w:t>六、健康旅游行业发展策略</w:t>
          </w:r>
          <w:r>
            <w:rPr>
              <w:sz w:val="28"/>
              <w:szCs w:val="28"/>
            </w:rPr>
            <w:tab/>
          </w:r>
          <w:r>
            <w:rPr>
              <w:sz w:val="28"/>
              <w:szCs w:val="28"/>
            </w:rPr>
            <w:fldChar w:fldCharType="begin"/>
          </w:r>
          <w:r>
            <w:rPr>
              <w:sz w:val="28"/>
              <w:szCs w:val="28"/>
            </w:rPr>
            <w:instrText xml:space="preserve"> PAGEREF _Toc19563 </w:instrText>
          </w:r>
          <w:r>
            <w:rPr>
              <w:sz w:val="28"/>
              <w:szCs w:val="28"/>
            </w:rPr>
            <w:fldChar w:fldCharType="separate"/>
          </w:r>
          <w:r>
            <w:rPr>
              <w:sz w:val="28"/>
              <w:szCs w:val="28"/>
            </w:rPr>
            <w:t>9</w:t>
          </w:r>
          <w:r>
            <w:rPr>
              <w:sz w:val="28"/>
              <w:szCs w:val="28"/>
            </w:rPr>
            <w:fldChar w:fldCharType="end"/>
          </w:r>
          <w:r>
            <w:rPr>
              <w:rFonts w:hint="eastAsia" w:eastAsiaTheme="minorEastAsia"/>
              <w:color w:val="auto"/>
              <w:sz w:val="28"/>
              <w:szCs w:val="28"/>
              <w:lang w:eastAsia="zh-CN"/>
            </w:rPr>
            <w:fldChar w:fldCharType="end"/>
          </w:r>
        </w:p>
        <w:p>
          <w:pPr>
            <w:pStyle w:val="8"/>
            <w:tabs>
              <w:tab w:val="right" w:leader="dot" w:pos="8306"/>
            </w:tabs>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_Toc17669 </w:instrText>
          </w:r>
          <w:r>
            <w:rPr>
              <w:rFonts w:hint="eastAsia" w:eastAsiaTheme="minorEastAsia"/>
              <w:sz w:val="28"/>
              <w:szCs w:val="28"/>
              <w:lang w:eastAsia="zh-CN"/>
            </w:rPr>
            <w:fldChar w:fldCharType="separate"/>
          </w:r>
          <w:r>
            <w:rPr>
              <w:rFonts w:hint="eastAsia" w:ascii="方正小标宋_GBK" w:hAnsi="方正小标宋_GBK" w:eastAsia="方正小标宋_GBK" w:cs="方正小标宋_GBK"/>
              <w:bCs/>
              <w:sz w:val="28"/>
              <w:szCs w:val="28"/>
              <w:lang w:val="en-US" w:eastAsia="zh-CN"/>
            </w:rPr>
            <w:t>第二章</w:t>
          </w:r>
          <w:r>
            <w:rPr>
              <w:sz w:val="28"/>
              <w:szCs w:val="28"/>
            </w:rPr>
            <w:tab/>
          </w:r>
          <w:r>
            <w:rPr>
              <w:sz w:val="28"/>
              <w:szCs w:val="28"/>
            </w:rPr>
            <w:fldChar w:fldCharType="begin"/>
          </w:r>
          <w:r>
            <w:rPr>
              <w:sz w:val="28"/>
              <w:szCs w:val="28"/>
            </w:rPr>
            <w:instrText xml:space="preserve"> PAGEREF _Toc17669 </w:instrText>
          </w:r>
          <w:r>
            <w:rPr>
              <w:sz w:val="28"/>
              <w:szCs w:val="28"/>
            </w:rPr>
            <w:fldChar w:fldCharType="separate"/>
          </w:r>
          <w:r>
            <w:rPr>
              <w:sz w:val="28"/>
              <w:szCs w:val="28"/>
            </w:rPr>
            <w:t>11</w:t>
          </w:r>
          <w:r>
            <w:rPr>
              <w:sz w:val="28"/>
              <w:szCs w:val="28"/>
            </w:rPr>
            <w:fldChar w:fldCharType="end"/>
          </w:r>
          <w:r>
            <w:rPr>
              <w:rFonts w:hint="eastAsia" w:eastAsiaTheme="minorEastAsia"/>
              <w:color w:val="auto"/>
              <w:sz w:val="28"/>
              <w:szCs w:val="28"/>
              <w:lang w:eastAsia="zh-CN"/>
            </w:rPr>
            <w:fldChar w:fldCharType="end"/>
          </w:r>
        </w:p>
        <w:p>
          <w:pPr>
            <w:pStyle w:val="8"/>
            <w:tabs>
              <w:tab w:val="right" w:leader="dot" w:pos="8306"/>
            </w:tabs>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_Toc2250 </w:instrText>
          </w:r>
          <w:r>
            <w:rPr>
              <w:rFonts w:hint="eastAsia" w:eastAsiaTheme="minorEastAsia"/>
              <w:sz w:val="28"/>
              <w:szCs w:val="28"/>
              <w:lang w:eastAsia="zh-CN"/>
            </w:rPr>
            <w:fldChar w:fldCharType="separate"/>
          </w:r>
          <w:r>
            <w:rPr>
              <w:rFonts w:hint="eastAsia" w:ascii="方正小标宋_GBK" w:hAnsi="方正小标宋_GBK" w:eastAsia="方正小标宋_GBK" w:cs="方正小标宋_GBK"/>
              <w:bCs/>
              <w:sz w:val="28"/>
              <w:szCs w:val="28"/>
              <w:lang w:val="en-US" w:eastAsia="zh-CN"/>
            </w:rPr>
            <w:t>二月地产月报</w:t>
          </w:r>
          <w:r>
            <w:rPr>
              <w:sz w:val="28"/>
              <w:szCs w:val="28"/>
            </w:rPr>
            <w:tab/>
          </w:r>
          <w:r>
            <w:rPr>
              <w:sz w:val="28"/>
              <w:szCs w:val="28"/>
            </w:rPr>
            <w:fldChar w:fldCharType="begin"/>
          </w:r>
          <w:r>
            <w:rPr>
              <w:sz w:val="28"/>
              <w:szCs w:val="28"/>
            </w:rPr>
            <w:instrText xml:space="preserve"> PAGEREF _Toc2250 </w:instrText>
          </w:r>
          <w:r>
            <w:rPr>
              <w:sz w:val="28"/>
              <w:szCs w:val="28"/>
            </w:rPr>
            <w:fldChar w:fldCharType="separate"/>
          </w:r>
          <w:r>
            <w:rPr>
              <w:sz w:val="28"/>
              <w:szCs w:val="28"/>
            </w:rPr>
            <w:t>11</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_Toc25117 </w:instrText>
          </w:r>
          <w:r>
            <w:rPr>
              <w:rFonts w:hint="eastAsia" w:eastAsiaTheme="minorEastAsia"/>
              <w:sz w:val="28"/>
              <w:szCs w:val="28"/>
              <w:lang w:eastAsia="zh-CN"/>
            </w:rPr>
            <w:fldChar w:fldCharType="separate"/>
          </w:r>
          <w:r>
            <w:rPr>
              <w:rFonts w:hint="eastAsia"/>
              <w:bCs/>
              <w:sz w:val="28"/>
              <w:szCs w:val="28"/>
              <w:lang w:val="en-US" w:eastAsia="zh-CN"/>
            </w:rPr>
            <w:t>一、政策速递</w:t>
          </w:r>
          <w:r>
            <w:rPr>
              <w:sz w:val="28"/>
              <w:szCs w:val="28"/>
            </w:rPr>
            <w:tab/>
          </w:r>
          <w:r>
            <w:rPr>
              <w:sz w:val="28"/>
              <w:szCs w:val="28"/>
            </w:rPr>
            <w:fldChar w:fldCharType="begin"/>
          </w:r>
          <w:r>
            <w:rPr>
              <w:sz w:val="28"/>
              <w:szCs w:val="28"/>
            </w:rPr>
            <w:instrText xml:space="preserve"> PAGEREF _Toc25117 </w:instrText>
          </w:r>
          <w:r>
            <w:rPr>
              <w:sz w:val="28"/>
              <w:szCs w:val="28"/>
            </w:rPr>
            <w:fldChar w:fldCharType="separate"/>
          </w:r>
          <w:r>
            <w:rPr>
              <w:sz w:val="28"/>
              <w:szCs w:val="28"/>
            </w:rPr>
            <w:t>11</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_Toc15988 </w:instrText>
          </w:r>
          <w:r>
            <w:rPr>
              <w:rFonts w:hint="eastAsia" w:eastAsiaTheme="minorEastAsia"/>
              <w:sz w:val="28"/>
              <w:szCs w:val="28"/>
              <w:lang w:eastAsia="zh-CN"/>
            </w:rPr>
            <w:fldChar w:fldCharType="separate"/>
          </w:r>
          <w:r>
            <w:rPr>
              <w:rFonts w:hint="eastAsia"/>
              <w:bCs/>
              <w:sz w:val="28"/>
              <w:szCs w:val="28"/>
              <w:lang w:val="en-US" w:eastAsia="zh-CN"/>
            </w:rPr>
            <w:t>二、住宅市场</w:t>
          </w:r>
          <w:r>
            <w:rPr>
              <w:sz w:val="28"/>
              <w:szCs w:val="28"/>
            </w:rPr>
            <w:tab/>
          </w:r>
          <w:r>
            <w:rPr>
              <w:sz w:val="28"/>
              <w:szCs w:val="28"/>
            </w:rPr>
            <w:fldChar w:fldCharType="begin"/>
          </w:r>
          <w:r>
            <w:rPr>
              <w:sz w:val="28"/>
              <w:szCs w:val="28"/>
            </w:rPr>
            <w:instrText xml:space="preserve"> PAGEREF _Toc15988 </w:instrText>
          </w:r>
          <w:r>
            <w:rPr>
              <w:sz w:val="28"/>
              <w:szCs w:val="28"/>
            </w:rPr>
            <w:fldChar w:fldCharType="separate"/>
          </w:r>
          <w:r>
            <w:rPr>
              <w:sz w:val="28"/>
              <w:szCs w:val="28"/>
            </w:rPr>
            <w:t>11</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_Toc11757 </w:instrText>
          </w:r>
          <w:r>
            <w:rPr>
              <w:rFonts w:hint="eastAsia" w:eastAsiaTheme="minorEastAsia"/>
              <w:sz w:val="28"/>
              <w:szCs w:val="28"/>
              <w:lang w:eastAsia="zh-CN"/>
            </w:rPr>
            <w:fldChar w:fldCharType="separate"/>
          </w:r>
          <w:r>
            <w:rPr>
              <w:rFonts w:hint="eastAsia"/>
              <w:bCs/>
              <w:sz w:val="28"/>
              <w:szCs w:val="28"/>
              <w:lang w:val="en-US" w:eastAsia="zh-CN"/>
            </w:rPr>
            <w:t>三、土地市场</w:t>
          </w:r>
          <w:r>
            <w:rPr>
              <w:sz w:val="28"/>
              <w:szCs w:val="28"/>
            </w:rPr>
            <w:tab/>
          </w:r>
          <w:r>
            <w:rPr>
              <w:sz w:val="28"/>
              <w:szCs w:val="28"/>
            </w:rPr>
            <w:fldChar w:fldCharType="begin"/>
          </w:r>
          <w:r>
            <w:rPr>
              <w:sz w:val="28"/>
              <w:szCs w:val="28"/>
            </w:rPr>
            <w:instrText xml:space="preserve"> PAGEREF _Toc11757 </w:instrText>
          </w:r>
          <w:r>
            <w:rPr>
              <w:sz w:val="28"/>
              <w:szCs w:val="28"/>
            </w:rPr>
            <w:fldChar w:fldCharType="separate"/>
          </w:r>
          <w:r>
            <w:rPr>
              <w:sz w:val="28"/>
              <w:szCs w:val="28"/>
            </w:rPr>
            <w:t>12</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_Toc22966 </w:instrText>
          </w:r>
          <w:r>
            <w:rPr>
              <w:rFonts w:hint="eastAsia" w:eastAsiaTheme="minorEastAsia"/>
              <w:sz w:val="28"/>
              <w:szCs w:val="28"/>
              <w:lang w:eastAsia="zh-CN"/>
            </w:rPr>
            <w:fldChar w:fldCharType="separate"/>
          </w:r>
          <w:r>
            <w:rPr>
              <w:rFonts w:hint="eastAsia"/>
              <w:bCs/>
              <w:sz w:val="28"/>
              <w:szCs w:val="28"/>
              <w:lang w:val="en-US" w:eastAsia="zh-CN"/>
            </w:rPr>
            <w:t>四、企业表现</w:t>
          </w:r>
          <w:r>
            <w:rPr>
              <w:sz w:val="28"/>
              <w:szCs w:val="28"/>
            </w:rPr>
            <w:tab/>
          </w:r>
          <w:r>
            <w:rPr>
              <w:sz w:val="28"/>
              <w:szCs w:val="28"/>
            </w:rPr>
            <w:fldChar w:fldCharType="begin"/>
          </w:r>
          <w:r>
            <w:rPr>
              <w:sz w:val="28"/>
              <w:szCs w:val="28"/>
            </w:rPr>
            <w:instrText xml:space="preserve"> PAGEREF _Toc22966 </w:instrText>
          </w:r>
          <w:r>
            <w:rPr>
              <w:sz w:val="28"/>
              <w:szCs w:val="28"/>
            </w:rPr>
            <w:fldChar w:fldCharType="separate"/>
          </w:r>
          <w:r>
            <w:rPr>
              <w:sz w:val="28"/>
              <w:szCs w:val="28"/>
            </w:rPr>
            <w:t>13</w:t>
          </w:r>
          <w:r>
            <w:rPr>
              <w:sz w:val="28"/>
              <w:szCs w:val="28"/>
            </w:rPr>
            <w:fldChar w:fldCharType="end"/>
          </w:r>
          <w:r>
            <w:rPr>
              <w:rFonts w:hint="eastAsia" w:eastAsiaTheme="minorEastAsia"/>
              <w:color w:val="auto"/>
              <w:sz w:val="28"/>
              <w:szCs w:val="28"/>
              <w:lang w:eastAsia="zh-CN"/>
            </w:rPr>
            <w:fldChar w:fldCharType="end"/>
          </w:r>
        </w:p>
        <w:p>
          <w:pPr>
            <w:pStyle w:val="8"/>
            <w:tabs>
              <w:tab w:val="right" w:leader="dot" w:pos="8306"/>
            </w:tabs>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_Toc4268 </w:instrText>
          </w:r>
          <w:r>
            <w:rPr>
              <w:rFonts w:hint="eastAsia" w:eastAsiaTheme="minorEastAsia"/>
              <w:sz w:val="28"/>
              <w:szCs w:val="28"/>
              <w:lang w:eastAsia="zh-CN"/>
            </w:rPr>
            <w:fldChar w:fldCharType="separate"/>
          </w:r>
          <w:r>
            <w:rPr>
              <w:rFonts w:hint="eastAsia" w:ascii="方正小标宋_GBK" w:hAnsi="方正小标宋_GBK" w:eastAsia="方正小标宋_GBK" w:cs="方正小标宋_GBK"/>
              <w:bCs/>
              <w:sz w:val="28"/>
              <w:szCs w:val="28"/>
              <w:lang w:val="en-US" w:eastAsia="zh-CN"/>
            </w:rPr>
            <w:t>第三章</w:t>
          </w:r>
          <w:r>
            <w:rPr>
              <w:sz w:val="28"/>
              <w:szCs w:val="28"/>
            </w:rPr>
            <w:tab/>
          </w:r>
          <w:r>
            <w:rPr>
              <w:sz w:val="28"/>
              <w:szCs w:val="28"/>
            </w:rPr>
            <w:fldChar w:fldCharType="begin"/>
          </w:r>
          <w:r>
            <w:rPr>
              <w:sz w:val="28"/>
              <w:szCs w:val="28"/>
            </w:rPr>
            <w:instrText xml:space="preserve"> PAGEREF _Toc4268 </w:instrText>
          </w:r>
          <w:r>
            <w:rPr>
              <w:sz w:val="28"/>
              <w:szCs w:val="28"/>
            </w:rPr>
            <w:fldChar w:fldCharType="separate"/>
          </w:r>
          <w:r>
            <w:rPr>
              <w:sz w:val="28"/>
              <w:szCs w:val="28"/>
            </w:rPr>
            <w:t>14</w:t>
          </w:r>
          <w:r>
            <w:rPr>
              <w:sz w:val="28"/>
              <w:szCs w:val="28"/>
            </w:rPr>
            <w:fldChar w:fldCharType="end"/>
          </w:r>
          <w:r>
            <w:rPr>
              <w:rFonts w:hint="eastAsia" w:eastAsiaTheme="minorEastAsia"/>
              <w:color w:val="auto"/>
              <w:sz w:val="28"/>
              <w:szCs w:val="28"/>
              <w:lang w:eastAsia="zh-CN"/>
            </w:rPr>
            <w:fldChar w:fldCharType="end"/>
          </w:r>
        </w:p>
        <w:p>
          <w:pPr>
            <w:pStyle w:val="8"/>
            <w:tabs>
              <w:tab w:val="right" w:leader="dot" w:pos="8306"/>
            </w:tabs>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_Toc522 </w:instrText>
          </w:r>
          <w:r>
            <w:rPr>
              <w:rFonts w:hint="eastAsia" w:eastAsiaTheme="minorEastAsia"/>
              <w:sz w:val="28"/>
              <w:szCs w:val="28"/>
              <w:lang w:eastAsia="zh-CN"/>
            </w:rPr>
            <w:fldChar w:fldCharType="separate"/>
          </w:r>
          <w:r>
            <w:rPr>
              <w:rFonts w:hint="eastAsia" w:ascii="方正小标宋_GBK" w:hAnsi="方正小标宋_GBK" w:eastAsia="方正小标宋_GBK" w:cs="方正小标宋_GBK"/>
              <w:bCs/>
              <w:sz w:val="28"/>
              <w:szCs w:val="28"/>
              <w:lang w:val="en-US" w:eastAsia="zh-CN"/>
            </w:rPr>
            <w:t>政府工作报告重点摘要</w:t>
          </w:r>
          <w:r>
            <w:rPr>
              <w:sz w:val="28"/>
              <w:szCs w:val="28"/>
            </w:rPr>
            <w:tab/>
          </w:r>
          <w:r>
            <w:rPr>
              <w:sz w:val="28"/>
              <w:szCs w:val="28"/>
            </w:rPr>
            <w:fldChar w:fldCharType="begin"/>
          </w:r>
          <w:r>
            <w:rPr>
              <w:sz w:val="28"/>
              <w:szCs w:val="28"/>
            </w:rPr>
            <w:instrText xml:space="preserve"> PAGEREF _Toc522 </w:instrText>
          </w:r>
          <w:r>
            <w:rPr>
              <w:sz w:val="28"/>
              <w:szCs w:val="28"/>
            </w:rPr>
            <w:fldChar w:fldCharType="separate"/>
          </w:r>
          <w:r>
            <w:rPr>
              <w:sz w:val="28"/>
              <w:szCs w:val="28"/>
            </w:rPr>
            <w:t>14</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_Toc23453 </w:instrText>
          </w:r>
          <w:r>
            <w:rPr>
              <w:rFonts w:hint="eastAsia" w:eastAsiaTheme="minorEastAsia"/>
              <w:sz w:val="28"/>
              <w:szCs w:val="28"/>
              <w:lang w:eastAsia="zh-CN"/>
            </w:rPr>
            <w:fldChar w:fldCharType="separate"/>
          </w:r>
          <w:r>
            <w:rPr>
              <w:rFonts w:hint="eastAsia"/>
              <w:bCs/>
              <w:sz w:val="28"/>
              <w:szCs w:val="28"/>
              <w:lang w:val="en-US" w:eastAsia="zh-CN"/>
            </w:rPr>
            <w:t>一、去年工作回顾</w:t>
          </w:r>
          <w:r>
            <w:rPr>
              <w:sz w:val="28"/>
              <w:szCs w:val="28"/>
            </w:rPr>
            <w:tab/>
          </w:r>
          <w:r>
            <w:rPr>
              <w:sz w:val="28"/>
              <w:szCs w:val="28"/>
            </w:rPr>
            <w:fldChar w:fldCharType="begin"/>
          </w:r>
          <w:r>
            <w:rPr>
              <w:sz w:val="28"/>
              <w:szCs w:val="28"/>
            </w:rPr>
            <w:instrText xml:space="preserve"> PAGEREF _Toc23453 </w:instrText>
          </w:r>
          <w:r>
            <w:rPr>
              <w:sz w:val="28"/>
              <w:szCs w:val="28"/>
            </w:rPr>
            <w:fldChar w:fldCharType="separate"/>
          </w:r>
          <w:r>
            <w:rPr>
              <w:sz w:val="28"/>
              <w:szCs w:val="28"/>
            </w:rPr>
            <w:t>14</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_Toc13457 </w:instrText>
          </w:r>
          <w:r>
            <w:rPr>
              <w:rFonts w:hint="eastAsia" w:eastAsiaTheme="minorEastAsia"/>
              <w:sz w:val="28"/>
              <w:szCs w:val="28"/>
              <w:lang w:eastAsia="zh-CN"/>
            </w:rPr>
            <w:fldChar w:fldCharType="separate"/>
          </w:r>
          <w:r>
            <w:rPr>
              <w:rFonts w:hint="eastAsia"/>
              <w:bCs/>
              <w:sz w:val="28"/>
              <w:szCs w:val="28"/>
              <w:lang w:val="en-US" w:eastAsia="zh-CN"/>
            </w:rPr>
            <w:t>二、“十四五”主要目标</w:t>
          </w:r>
          <w:r>
            <w:rPr>
              <w:sz w:val="28"/>
              <w:szCs w:val="28"/>
            </w:rPr>
            <w:tab/>
          </w:r>
          <w:r>
            <w:rPr>
              <w:sz w:val="28"/>
              <w:szCs w:val="28"/>
            </w:rPr>
            <w:fldChar w:fldCharType="begin"/>
          </w:r>
          <w:r>
            <w:rPr>
              <w:sz w:val="28"/>
              <w:szCs w:val="28"/>
            </w:rPr>
            <w:instrText xml:space="preserve"> PAGEREF _Toc13457 </w:instrText>
          </w:r>
          <w:r>
            <w:rPr>
              <w:sz w:val="28"/>
              <w:szCs w:val="28"/>
            </w:rPr>
            <w:fldChar w:fldCharType="separate"/>
          </w:r>
          <w:r>
            <w:rPr>
              <w:sz w:val="28"/>
              <w:szCs w:val="28"/>
            </w:rPr>
            <w:t>14</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_Toc27807 </w:instrText>
          </w:r>
          <w:r>
            <w:rPr>
              <w:rFonts w:hint="eastAsia" w:eastAsiaTheme="minorEastAsia"/>
              <w:sz w:val="28"/>
              <w:szCs w:val="28"/>
              <w:lang w:eastAsia="zh-CN"/>
            </w:rPr>
            <w:fldChar w:fldCharType="separate"/>
          </w:r>
          <w:r>
            <w:rPr>
              <w:rFonts w:hint="eastAsia"/>
              <w:bCs/>
              <w:sz w:val="28"/>
              <w:szCs w:val="28"/>
              <w:lang w:val="en-US" w:eastAsia="zh-CN"/>
            </w:rPr>
            <w:t>三、今年主要目标</w:t>
          </w:r>
          <w:r>
            <w:rPr>
              <w:sz w:val="28"/>
              <w:szCs w:val="28"/>
            </w:rPr>
            <w:tab/>
          </w:r>
          <w:r>
            <w:rPr>
              <w:sz w:val="28"/>
              <w:szCs w:val="28"/>
            </w:rPr>
            <w:fldChar w:fldCharType="begin"/>
          </w:r>
          <w:r>
            <w:rPr>
              <w:sz w:val="28"/>
              <w:szCs w:val="28"/>
            </w:rPr>
            <w:instrText xml:space="preserve"> PAGEREF _Toc27807 </w:instrText>
          </w:r>
          <w:r>
            <w:rPr>
              <w:sz w:val="28"/>
              <w:szCs w:val="28"/>
            </w:rPr>
            <w:fldChar w:fldCharType="separate"/>
          </w:r>
          <w:r>
            <w:rPr>
              <w:sz w:val="28"/>
              <w:szCs w:val="28"/>
            </w:rPr>
            <w:t>14</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_Toc24546 </w:instrText>
          </w:r>
          <w:r>
            <w:rPr>
              <w:rFonts w:hint="eastAsia" w:eastAsiaTheme="minorEastAsia"/>
              <w:sz w:val="28"/>
              <w:szCs w:val="28"/>
              <w:lang w:eastAsia="zh-CN"/>
            </w:rPr>
            <w:fldChar w:fldCharType="separate"/>
          </w:r>
          <w:r>
            <w:rPr>
              <w:rFonts w:hint="eastAsia"/>
              <w:bCs/>
              <w:sz w:val="28"/>
              <w:szCs w:val="28"/>
              <w:lang w:val="en-US" w:eastAsia="zh-CN"/>
            </w:rPr>
            <w:t>四、今年部分重点工作</w:t>
          </w:r>
          <w:r>
            <w:rPr>
              <w:sz w:val="28"/>
              <w:szCs w:val="28"/>
            </w:rPr>
            <w:tab/>
          </w:r>
          <w:r>
            <w:rPr>
              <w:sz w:val="28"/>
              <w:szCs w:val="28"/>
            </w:rPr>
            <w:fldChar w:fldCharType="begin"/>
          </w:r>
          <w:r>
            <w:rPr>
              <w:sz w:val="28"/>
              <w:szCs w:val="28"/>
            </w:rPr>
            <w:instrText xml:space="preserve"> PAGEREF _Toc24546 </w:instrText>
          </w:r>
          <w:r>
            <w:rPr>
              <w:sz w:val="28"/>
              <w:szCs w:val="28"/>
            </w:rPr>
            <w:fldChar w:fldCharType="separate"/>
          </w:r>
          <w:r>
            <w:rPr>
              <w:sz w:val="28"/>
              <w:szCs w:val="28"/>
            </w:rPr>
            <w:t>14</w:t>
          </w:r>
          <w:r>
            <w:rPr>
              <w:sz w:val="28"/>
              <w:szCs w:val="28"/>
            </w:rPr>
            <w:fldChar w:fldCharType="end"/>
          </w:r>
          <w:r>
            <w:rPr>
              <w:rFonts w:hint="eastAsia" w:eastAsiaTheme="minorEastAsia"/>
              <w:color w:val="auto"/>
              <w:sz w:val="28"/>
              <w:szCs w:val="28"/>
              <w:lang w:eastAsia="zh-CN"/>
            </w:rPr>
            <w:fldChar w:fldCharType="end"/>
          </w:r>
        </w:p>
        <w:p>
          <w:pPr>
            <w:pStyle w:val="8"/>
            <w:tabs>
              <w:tab w:val="right" w:leader="dot" w:pos="8306"/>
            </w:tabs>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_Toc18239 </w:instrText>
          </w:r>
          <w:r>
            <w:rPr>
              <w:rFonts w:hint="eastAsia" w:eastAsiaTheme="minorEastAsia"/>
              <w:sz w:val="28"/>
              <w:szCs w:val="28"/>
              <w:lang w:eastAsia="zh-CN"/>
            </w:rPr>
            <w:fldChar w:fldCharType="separate"/>
          </w:r>
          <w:r>
            <w:rPr>
              <w:rFonts w:hint="eastAsia" w:ascii="方正小标宋_GBK" w:hAnsi="方正小标宋_GBK" w:eastAsia="方正小标宋_GBK" w:cs="方正小标宋_GBK"/>
              <w:bCs/>
              <w:sz w:val="28"/>
              <w:szCs w:val="28"/>
              <w:lang w:val="en-US" w:eastAsia="zh-CN"/>
            </w:rPr>
            <w:t>第四章</w:t>
          </w:r>
          <w:r>
            <w:rPr>
              <w:sz w:val="28"/>
              <w:szCs w:val="28"/>
            </w:rPr>
            <w:tab/>
          </w:r>
          <w:r>
            <w:rPr>
              <w:sz w:val="28"/>
              <w:szCs w:val="28"/>
            </w:rPr>
            <w:fldChar w:fldCharType="begin"/>
          </w:r>
          <w:r>
            <w:rPr>
              <w:sz w:val="28"/>
              <w:szCs w:val="28"/>
            </w:rPr>
            <w:instrText xml:space="preserve"> PAGEREF _Toc18239 </w:instrText>
          </w:r>
          <w:r>
            <w:rPr>
              <w:sz w:val="28"/>
              <w:szCs w:val="28"/>
            </w:rPr>
            <w:fldChar w:fldCharType="separate"/>
          </w:r>
          <w:r>
            <w:rPr>
              <w:sz w:val="28"/>
              <w:szCs w:val="28"/>
            </w:rPr>
            <w:t>16</w:t>
          </w:r>
          <w:r>
            <w:rPr>
              <w:sz w:val="28"/>
              <w:szCs w:val="28"/>
            </w:rPr>
            <w:fldChar w:fldCharType="end"/>
          </w:r>
          <w:r>
            <w:rPr>
              <w:rFonts w:hint="eastAsia" w:eastAsiaTheme="minorEastAsia"/>
              <w:color w:val="auto"/>
              <w:sz w:val="28"/>
              <w:szCs w:val="28"/>
              <w:lang w:eastAsia="zh-CN"/>
            </w:rPr>
            <w:fldChar w:fldCharType="end"/>
          </w:r>
        </w:p>
        <w:p>
          <w:pPr>
            <w:pStyle w:val="8"/>
            <w:tabs>
              <w:tab w:val="right" w:leader="dot" w:pos="8306"/>
            </w:tabs>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_Toc21351 </w:instrText>
          </w:r>
          <w:r>
            <w:rPr>
              <w:rFonts w:hint="eastAsia" w:eastAsiaTheme="minorEastAsia"/>
              <w:sz w:val="28"/>
              <w:szCs w:val="28"/>
              <w:lang w:eastAsia="zh-CN"/>
            </w:rPr>
            <w:fldChar w:fldCharType="separate"/>
          </w:r>
          <w:r>
            <w:rPr>
              <w:rFonts w:hint="eastAsia" w:ascii="方正小标宋_GBK" w:hAnsi="方正小标宋_GBK" w:eastAsia="方正小标宋_GBK" w:cs="方正小标宋_GBK"/>
              <w:bCs/>
              <w:sz w:val="28"/>
              <w:szCs w:val="28"/>
              <w:lang w:val="en-US" w:eastAsia="zh-CN"/>
            </w:rPr>
            <w:t>国内旅界重点资讯</w:t>
          </w:r>
          <w:r>
            <w:rPr>
              <w:sz w:val="28"/>
              <w:szCs w:val="28"/>
            </w:rPr>
            <w:tab/>
          </w:r>
          <w:r>
            <w:rPr>
              <w:sz w:val="28"/>
              <w:szCs w:val="28"/>
            </w:rPr>
            <w:fldChar w:fldCharType="begin"/>
          </w:r>
          <w:r>
            <w:rPr>
              <w:sz w:val="28"/>
              <w:szCs w:val="28"/>
            </w:rPr>
            <w:instrText xml:space="preserve"> PAGEREF _Toc21351 </w:instrText>
          </w:r>
          <w:r>
            <w:rPr>
              <w:sz w:val="28"/>
              <w:szCs w:val="28"/>
            </w:rPr>
            <w:fldChar w:fldCharType="separate"/>
          </w:r>
          <w:r>
            <w:rPr>
              <w:sz w:val="28"/>
              <w:szCs w:val="28"/>
            </w:rPr>
            <w:t>16</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_Toc5923 </w:instrText>
          </w:r>
          <w:r>
            <w:rPr>
              <w:rFonts w:hint="eastAsia" w:eastAsiaTheme="minorEastAsia"/>
              <w:sz w:val="28"/>
              <w:szCs w:val="28"/>
              <w:lang w:eastAsia="zh-CN"/>
            </w:rPr>
            <w:fldChar w:fldCharType="separate"/>
          </w:r>
          <w:r>
            <w:rPr>
              <w:rFonts w:hint="eastAsia" w:ascii="黑体" w:hAnsi="黑体" w:cs="黑体"/>
              <w:bCs/>
              <w:sz w:val="28"/>
              <w:szCs w:val="28"/>
              <w:lang w:val="en-US" w:eastAsia="zh-CN"/>
            </w:rPr>
            <w:t>一、2020年全球旅游总人次同比降40%</w:t>
          </w:r>
          <w:r>
            <w:rPr>
              <w:sz w:val="28"/>
              <w:szCs w:val="28"/>
            </w:rPr>
            <w:tab/>
          </w:r>
          <w:r>
            <w:rPr>
              <w:sz w:val="28"/>
              <w:szCs w:val="28"/>
            </w:rPr>
            <w:fldChar w:fldCharType="begin"/>
          </w:r>
          <w:r>
            <w:rPr>
              <w:sz w:val="28"/>
              <w:szCs w:val="28"/>
            </w:rPr>
            <w:instrText xml:space="preserve"> PAGEREF _Toc5923 </w:instrText>
          </w:r>
          <w:r>
            <w:rPr>
              <w:sz w:val="28"/>
              <w:szCs w:val="28"/>
            </w:rPr>
            <w:fldChar w:fldCharType="separate"/>
          </w:r>
          <w:r>
            <w:rPr>
              <w:sz w:val="28"/>
              <w:szCs w:val="28"/>
            </w:rPr>
            <w:t>16</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_Toc18052 </w:instrText>
          </w:r>
          <w:r>
            <w:rPr>
              <w:rFonts w:hint="eastAsia" w:eastAsiaTheme="minorEastAsia"/>
              <w:sz w:val="28"/>
              <w:szCs w:val="28"/>
              <w:lang w:eastAsia="zh-CN"/>
            </w:rPr>
            <w:fldChar w:fldCharType="separate"/>
          </w:r>
          <w:r>
            <w:rPr>
              <w:rFonts w:hint="eastAsia" w:ascii="黑体" w:hAnsi="黑体" w:cs="黑体"/>
              <w:bCs/>
              <w:sz w:val="28"/>
              <w:szCs w:val="28"/>
              <w:lang w:val="en-US" w:eastAsia="zh-CN"/>
            </w:rPr>
            <w:t>二、文旅部：民宿等级名称从星级改成为丙乙甲级</w:t>
          </w:r>
          <w:r>
            <w:rPr>
              <w:sz w:val="28"/>
              <w:szCs w:val="28"/>
            </w:rPr>
            <w:tab/>
          </w:r>
          <w:r>
            <w:rPr>
              <w:sz w:val="28"/>
              <w:szCs w:val="28"/>
            </w:rPr>
            <w:fldChar w:fldCharType="begin"/>
          </w:r>
          <w:r>
            <w:rPr>
              <w:sz w:val="28"/>
              <w:szCs w:val="28"/>
            </w:rPr>
            <w:instrText xml:space="preserve"> PAGEREF _Toc18052 </w:instrText>
          </w:r>
          <w:r>
            <w:rPr>
              <w:sz w:val="28"/>
              <w:szCs w:val="28"/>
            </w:rPr>
            <w:fldChar w:fldCharType="separate"/>
          </w:r>
          <w:r>
            <w:rPr>
              <w:sz w:val="28"/>
              <w:szCs w:val="28"/>
            </w:rPr>
            <w:t>16</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_Toc28429 </w:instrText>
          </w:r>
          <w:r>
            <w:rPr>
              <w:rFonts w:hint="eastAsia" w:eastAsiaTheme="minorEastAsia"/>
              <w:sz w:val="28"/>
              <w:szCs w:val="28"/>
              <w:lang w:eastAsia="zh-CN"/>
            </w:rPr>
            <w:fldChar w:fldCharType="separate"/>
          </w:r>
          <w:r>
            <w:rPr>
              <w:rFonts w:hint="eastAsia" w:ascii="黑体" w:hAnsi="黑体" w:cs="黑体"/>
              <w:bCs/>
              <w:sz w:val="28"/>
              <w:szCs w:val="28"/>
              <w:lang w:val="en-US" w:eastAsia="zh-CN"/>
            </w:rPr>
            <w:t>三、农业农村部：2025年乡村休闲旅游年游客量超40亿</w:t>
          </w:r>
          <w:r>
            <w:rPr>
              <w:sz w:val="28"/>
              <w:szCs w:val="28"/>
            </w:rPr>
            <w:tab/>
          </w:r>
          <w:r>
            <w:rPr>
              <w:sz w:val="28"/>
              <w:szCs w:val="28"/>
            </w:rPr>
            <w:fldChar w:fldCharType="begin"/>
          </w:r>
          <w:r>
            <w:rPr>
              <w:sz w:val="28"/>
              <w:szCs w:val="28"/>
            </w:rPr>
            <w:instrText xml:space="preserve"> PAGEREF _Toc28429 </w:instrText>
          </w:r>
          <w:r>
            <w:rPr>
              <w:sz w:val="28"/>
              <w:szCs w:val="28"/>
            </w:rPr>
            <w:fldChar w:fldCharType="separate"/>
          </w:r>
          <w:r>
            <w:rPr>
              <w:sz w:val="28"/>
              <w:szCs w:val="28"/>
            </w:rPr>
            <w:t>16</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_Toc7713 </w:instrText>
          </w:r>
          <w:r>
            <w:rPr>
              <w:rFonts w:hint="eastAsia" w:eastAsiaTheme="minorEastAsia"/>
              <w:sz w:val="28"/>
              <w:szCs w:val="28"/>
              <w:lang w:eastAsia="zh-CN"/>
            </w:rPr>
            <w:fldChar w:fldCharType="separate"/>
          </w:r>
          <w:r>
            <w:rPr>
              <w:rFonts w:hint="eastAsia" w:ascii="黑体" w:hAnsi="黑体" w:cs="黑体"/>
              <w:bCs/>
              <w:sz w:val="28"/>
              <w:szCs w:val="28"/>
              <w:lang w:val="en-US" w:eastAsia="zh-CN"/>
            </w:rPr>
            <w:t>四、文旅部将开展未经许可经营旅行社业务专项整治行动</w:t>
          </w:r>
          <w:r>
            <w:rPr>
              <w:sz w:val="28"/>
              <w:szCs w:val="28"/>
            </w:rPr>
            <w:tab/>
          </w:r>
          <w:r>
            <w:rPr>
              <w:sz w:val="28"/>
              <w:szCs w:val="28"/>
            </w:rPr>
            <w:fldChar w:fldCharType="begin"/>
          </w:r>
          <w:r>
            <w:rPr>
              <w:sz w:val="28"/>
              <w:szCs w:val="28"/>
            </w:rPr>
            <w:instrText xml:space="preserve"> PAGEREF _Toc7713 </w:instrText>
          </w:r>
          <w:r>
            <w:rPr>
              <w:sz w:val="28"/>
              <w:szCs w:val="28"/>
            </w:rPr>
            <w:fldChar w:fldCharType="separate"/>
          </w:r>
          <w:r>
            <w:rPr>
              <w:sz w:val="28"/>
              <w:szCs w:val="28"/>
            </w:rPr>
            <w:t>17</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rFonts w:hint="eastAsia" w:eastAsiaTheme="minorEastAsia"/>
              <w:color w:val="auto"/>
              <w:sz w:val="28"/>
              <w:szCs w:val="28"/>
              <w:lang w:eastAsia="zh-CN"/>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_Toc28875 </w:instrText>
          </w:r>
          <w:r>
            <w:rPr>
              <w:rFonts w:hint="eastAsia" w:eastAsiaTheme="minorEastAsia"/>
              <w:sz w:val="28"/>
              <w:szCs w:val="28"/>
              <w:lang w:eastAsia="zh-CN"/>
            </w:rPr>
            <w:fldChar w:fldCharType="separate"/>
          </w:r>
          <w:r>
            <w:rPr>
              <w:rFonts w:hint="eastAsia" w:ascii="黑体" w:hAnsi="黑体" w:cs="黑体"/>
              <w:bCs/>
              <w:sz w:val="28"/>
              <w:szCs w:val="28"/>
              <w:lang w:val="en-US" w:eastAsia="zh-CN"/>
            </w:rPr>
            <w:t>五、文旅部：低风险地区演出、娱乐场所接待人数取消统一限制</w:t>
          </w:r>
          <w:r>
            <w:rPr>
              <w:sz w:val="28"/>
              <w:szCs w:val="28"/>
            </w:rPr>
            <w:tab/>
          </w:r>
          <w:r>
            <w:rPr>
              <w:sz w:val="28"/>
              <w:szCs w:val="28"/>
            </w:rPr>
            <w:fldChar w:fldCharType="begin"/>
          </w:r>
          <w:r>
            <w:rPr>
              <w:sz w:val="28"/>
              <w:szCs w:val="28"/>
            </w:rPr>
            <w:instrText xml:space="preserve"> PAGEREF _Toc28875 </w:instrText>
          </w:r>
          <w:r>
            <w:rPr>
              <w:sz w:val="28"/>
              <w:szCs w:val="28"/>
            </w:rPr>
            <w:fldChar w:fldCharType="separate"/>
          </w:r>
          <w:r>
            <w:rPr>
              <w:sz w:val="28"/>
              <w:szCs w:val="28"/>
            </w:rPr>
            <w:t>17</w:t>
          </w:r>
          <w:r>
            <w:rPr>
              <w:sz w:val="28"/>
              <w:szCs w:val="28"/>
            </w:rPr>
            <w:fldChar w:fldCharType="end"/>
          </w:r>
          <w:r>
            <w:rPr>
              <w:rFonts w:hint="eastAsia" w:eastAsiaTheme="minorEastAsia"/>
              <w:color w:val="auto"/>
              <w:sz w:val="28"/>
              <w:szCs w:val="28"/>
              <w:lang w:eastAsia="zh-CN"/>
            </w:rPr>
            <w:fldChar w:fldCharType="end"/>
          </w:r>
        </w:p>
        <w:p>
          <w:pPr>
            <w:pStyle w:val="9"/>
            <w:tabs>
              <w:tab w:val="right" w:leader="dot" w:pos="8306"/>
            </w:tabs>
            <w:ind w:left="0" w:leftChars="0" w:firstLine="0" w:firstLineChars="0"/>
            <w:rPr>
              <w:sz w:val="28"/>
              <w:szCs w:val="28"/>
            </w:rPr>
          </w:pPr>
          <w:r>
            <w:rPr>
              <w:rFonts w:hint="eastAsia" w:eastAsiaTheme="minorEastAsia"/>
              <w:color w:val="auto"/>
              <w:sz w:val="28"/>
              <w:szCs w:val="28"/>
              <w:lang w:eastAsia="zh-CN"/>
            </w:rPr>
            <w:t>六、文旅部：做好不合理低价游整治 增加优质旅游产品供给</w:t>
          </w:r>
          <w:r>
            <w:rPr>
              <w:sz w:val="28"/>
              <w:szCs w:val="28"/>
            </w:rPr>
            <w:tab/>
          </w:r>
          <w:r>
            <w:rPr>
              <w:sz w:val="28"/>
              <w:szCs w:val="28"/>
            </w:rPr>
            <w:fldChar w:fldCharType="begin"/>
          </w:r>
          <w:r>
            <w:rPr>
              <w:sz w:val="28"/>
              <w:szCs w:val="28"/>
            </w:rPr>
            <w:instrText xml:space="preserve"> PAGEREF _Toc28875 </w:instrText>
          </w:r>
          <w:r>
            <w:rPr>
              <w:sz w:val="28"/>
              <w:szCs w:val="28"/>
            </w:rPr>
            <w:fldChar w:fldCharType="separate"/>
          </w:r>
          <w:r>
            <w:rPr>
              <w:sz w:val="28"/>
              <w:szCs w:val="28"/>
            </w:rPr>
            <w:t>17</w:t>
          </w:r>
          <w:r>
            <w:rPr>
              <w:sz w:val="28"/>
              <w:szCs w:val="28"/>
            </w:rPr>
            <w:fldChar w:fldCharType="end"/>
          </w:r>
        </w:p>
        <w:p>
          <w:pPr>
            <w:rPr>
              <w:rFonts w:hint="eastAsia" w:asciiTheme="minorHAnsi" w:hAnsiTheme="minorHAnsi" w:eastAsiaTheme="minorEastAsia" w:cstheme="minorBidi"/>
              <w:color w:val="auto"/>
              <w:kern w:val="2"/>
              <w:sz w:val="28"/>
              <w:szCs w:val="28"/>
              <w:lang w:val="en-US" w:eastAsia="zh-CN" w:bidi="ar-SA"/>
            </w:rPr>
          </w:pPr>
          <w:r>
            <w:rPr>
              <w:rFonts w:hint="eastAsia" w:asciiTheme="minorHAnsi" w:hAnsiTheme="minorHAnsi" w:eastAsiaTheme="minorEastAsia" w:cstheme="minorBidi"/>
              <w:color w:val="auto"/>
              <w:kern w:val="2"/>
              <w:sz w:val="28"/>
              <w:szCs w:val="28"/>
              <w:lang w:val="en-US" w:eastAsia="zh-CN" w:bidi="ar-SA"/>
            </w:rPr>
            <w:t>七、文旅部：鼓励革命老区大力发展“红色+乡村”等旅游新业态</w:t>
          </w:r>
          <w:r>
            <w:rPr>
              <w:sz w:val="28"/>
              <w:szCs w:val="28"/>
            </w:rPr>
            <w:tab/>
          </w:r>
          <w:r>
            <w:rPr>
              <w:sz w:val="28"/>
              <w:szCs w:val="28"/>
            </w:rPr>
            <w:fldChar w:fldCharType="begin"/>
          </w:r>
          <w:r>
            <w:rPr>
              <w:sz w:val="28"/>
              <w:szCs w:val="28"/>
            </w:rPr>
            <w:instrText xml:space="preserve"> PAGEREF _Toc28875 </w:instrText>
          </w:r>
          <w:r>
            <w:rPr>
              <w:sz w:val="28"/>
              <w:szCs w:val="28"/>
            </w:rPr>
            <w:fldChar w:fldCharType="separate"/>
          </w:r>
          <w:r>
            <w:rPr>
              <w:sz w:val="28"/>
              <w:szCs w:val="28"/>
            </w:rPr>
            <w:t>1</w:t>
          </w:r>
          <w:r>
            <w:rPr>
              <w:rFonts w:hint="eastAsia"/>
              <w:sz w:val="28"/>
              <w:szCs w:val="28"/>
              <w:lang w:val="en-US" w:eastAsia="zh-CN"/>
            </w:rPr>
            <w:t>8</w:t>
          </w:r>
          <w:r>
            <w:rPr>
              <w:sz w:val="28"/>
              <w:szCs w:val="28"/>
            </w:rPr>
            <w:fldChar w:fldCharType="end"/>
          </w:r>
        </w:p>
        <w:p>
          <w:pPr>
            <w:pStyle w:val="9"/>
            <w:tabs>
              <w:tab w:val="right" w:leader="dot" w:pos="8306"/>
            </w:tabs>
            <w:ind w:left="0" w:leftChars="0" w:firstLine="0" w:firstLineChars="0"/>
            <w:rPr>
              <w:rFonts w:hint="default"/>
              <w:sz w:val="28"/>
              <w:szCs w:val="28"/>
              <w:lang w:val="en-US"/>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_Toc2889 </w:instrText>
          </w:r>
          <w:r>
            <w:rPr>
              <w:rFonts w:hint="eastAsia" w:eastAsiaTheme="minorEastAsia"/>
              <w:sz w:val="28"/>
              <w:szCs w:val="28"/>
              <w:lang w:eastAsia="zh-CN"/>
            </w:rPr>
            <w:fldChar w:fldCharType="separate"/>
          </w:r>
          <w:r>
            <w:rPr>
              <w:rFonts w:hint="eastAsia" w:ascii="黑体" w:hAnsi="黑体" w:cs="黑体"/>
              <w:bCs/>
              <w:sz w:val="28"/>
              <w:szCs w:val="28"/>
              <w:lang w:val="en-US" w:eastAsia="zh-CN"/>
            </w:rPr>
            <w:t>八、各省市文旅相关要点</w:t>
          </w:r>
          <w:r>
            <w:rPr>
              <w:sz w:val="28"/>
              <w:szCs w:val="28"/>
            </w:rPr>
            <w:tab/>
          </w:r>
          <w:r>
            <w:rPr>
              <w:rFonts w:hint="eastAsia"/>
              <w:sz w:val="28"/>
              <w:szCs w:val="28"/>
              <w:lang w:val="en-US" w:eastAsia="zh-CN"/>
            </w:rPr>
            <w:t>1</w:t>
          </w:r>
          <w:r>
            <w:rPr>
              <w:rFonts w:hint="eastAsia" w:eastAsiaTheme="minorEastAsia"/>
              <w:color w:val="auto"/>
              <w:sz w:val="28"/>
              <w:szCs w:val="28"/>
              <w:lang w:eastAsia="zh-CN"/>
            </w:rPr>
            <w:fldChar w:fldCharType="end"/>
          </w:r>
          <w:r>
            <w:rPr>
              <w:rFonts w:hint="eastAsia"/>
              <w:color w:val="auto"/>
              <w:sz w:val="28"/>
              <w:szCs w:val="28"/>
              <w:lang w:val="en-US" w:eastAsia="zh-CN"/>
            </w:rPr>
            <w:t>8</w:t>
          </w:r>
        </w:p>
        <w:p>
          <w:pPr>
            <w:pStyle w:val="9"/>
            <w:tabs>
              <w:tab w:val="right" w:leader="dot" w:pos="8306"/>
            </w:tabs>
            <w:ind w:left="0" w:leftChars="0" w:firstLine="0" w:firstLineChars="0"/>
            <w:rPr>
              <w:rFonts w:hint="default"/>
              <w:sz w:val="28"/>
              <w:szCs w:val="28"/>
              <w:lang w:val="en-US"/>
            </w:rPr>
          </w:pPr>
          <w:r>
            <w:rPr>
              <w:rFonts w:hint="eastAsia" w:eastAsiaTheme="minorEastAsia"/>
              <w:color w:val="auto"/>
              <w:sz w:val="28"/>
              <w:szCs w:val="28"/>
              <w:lang w:eastAsia="zh-CN"/>
            </w:rPr>
            <w:fldChar w:fldCharType="begin"/>
          </w:r>
          <w:r>
            <w:rPr>
              <w:rFonts w:hint="eastAsia" w:eastAsiaTheme="minorEastAsia"/>
              <w:sz w:val="28"/>
              <w:szCs w:val="28"/>
              <w:lang w:eastAsia="zh-CN"/>
            </w:rPr>
            <w:instrText xml:space="preserve"> HYPERLINK \l _Toc11724 </w:instrText>
          </w:r>
          <w:r>
            <w:rPr>
              <w:rFonts w:hint="eastAsia" w:eastAsiaTheme="minorEastAsia"/>
              <w:sz w:val="28"/>
              <w:szCs w:val="28"/>
              <w:lang w:eastAsia="zh-CN"/>
            </w:rPr>
            <w:fldChar w:fldCharType="separate"/>
          </w:r>
          <w:r>
            <w:rPr>
              <w:rFonts w:hint="eastAsia" w:ascii="黑体" w:hAnsi="黑体" w:cs="黑体"/>
              <w:bCs/>
              <w:sz w:val="28"/>
              <w:szCs w:val="28"/>
              <w:lang w:val="en-US" w:eastAsia="zh-CN"/>
            </w:rPr>
            <w:t>九、文旅企业新动向</w:t>
          </w:r>
          <w:r>
            <w:rPr>
              <w:sz w:val="28"/>
              <w:szCs w:val="28"/>
            </w:rPr>
            <w:tab/>
          </w:r>
          <w:r>
            <w:rPr>
              <w:rFonts w:hint="eastAsia"/>
              <w:sz w:val="28"/>
              <w:szCs w:val="28"/>
              <w:lang w:val="en-US" w:eastAsia="zh-CN"/>
            </w:rPr>
            <w:t>1</w:t>
          </w:r>
          <w:r>
            <w:rPr>
              <w:rFonts w:hint="eastAsia" w:eastAsiaTheme="minorEastAsia"/>
              <w:color w:val="auto"/>
              <w:sz w:val="28"/>
              <w:szCs w:val="28"/>
              <w:lang w:eastAsia="zh-CN"/>
            </w:rPr>
            <w:fldChar w:fldCharType="end"/>
          </w:r>
          <w:r>
            <w:rPr>
              <w:rFonts w:hint="eastAsia"/>
              <w:color w:val="auto"/>
              <w:sz w:val="28"/>
              <w:szCs w:val="28"/>
              <w:lang w:val="en-US" w:eastAsia="zh-CN"/>
            </w:rPr>
            <w:t>9</w:t>
          </w:r>
        </w:p>
        <w:p>
          <w:pPr>
            <w:rPr>
              <w:rFonts w:hint="eastAsia" w:eastAsiaTheme="minorEastAsia"/>
              <w:color w:val="auto"/>
              <w:sz w:val="28"/>
              <w:szCs w:val="28"/>
              <w:lang w:eastAsia="zh-CN"/>
            </w:rPr>
          </w:pPr>
          <w:r>
            <w:rPr>
              <w:rFonts w:hint="eastAsia" w:eastAsiaTheme="minorEastAsia"/>
              <w:color w:val="auto"/>
              <w:sz w:val="28"/>
              <w:szCs w:val="28"/>
              <w:lang w:eastAsia="zh-CN"/>
            </w:rPr>
            <w:fldChar w:fldCharType="end"/>
          </w:r>
        </w:p>
      </w:sdtContent>
    </w:sdt>
    <w:p>
      <w:pPr>
        <w:rPr>
          <w:rFonts w:hint="eastAsia" w:eastAsiaTheme="minorEastAsia"/>
          <w:color w:val="auto"/>
          <w:sz w:val="28"/>
          <w:szCs w:val="28"/>
          <w:lang w:eastAsia="zh-CN"/>
        </w:rPr>
      </w:pPr>
    </w:p>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方正小标宋_GBK" w:hAnsi="方正小标宋_GBK" w:eastAsia="方正小标宋_GBK" w:cs="方正小标宋_GBK"/>
          <w:b w:val="0"/>
          <w:bCs/>
          <w:color w:val="auto"/>
          <w:sz w:val="28"/>
          <w:szCs w:val="28"/>
          <w:lang w:val="en-US" w:eastAsia="zh-CN"/>
        </w:rPr>
        <w:sectPr>
          <w:footerReference r:id="rId4" w:type="default"/>
          <w:pgSz w:w="11906" w:h="16838"/>
          <w:pgMar w:top="1440" w:right="1800" w:bottom="1440" w:left="1800" w:header="851" w:footer="992" w:gutter="0"/>
          <w:pgNumType w:fmt="decimal" w:start="1"/>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b w:val="0"/>
          <w:bCs/>
          <w:color w:val="auto"/>
          <w:sz w:val="28"/>
          <w:szCs w:val="28"/>
          <w:lang w:val="en-US" w:eastAsia="zh-CN"/>
        </w:rPr>
      </w:pPr>
      <w:bookmarkStart w:id="0" w:name="_Toc28673"/>
      <w:r>
        <w:rPr>
          <w:rFonts w:hint="eastAsia" w:ascii="方正小标宋_GBK" w:hAnsi="方正小标宋_GBK" w:eastAsia="方正小标宋_GBK" w:cs="方正小标宋_GBK"/>
          <w:b w:val="0"/>
          <w:bCs/>
          <w:color w:val="auto"/>
          <w:sz w:val="28"/>
          <w:szCs w:val="28"/>
          <w:lang w:val="en-US" w:eastAsia="zh-CN"/>
        </w:rPr>
        <w:t>国家宏观经济</w:t>
      </w:r>
      <w:bookmarkEnd w:id="0"/>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今年1-2月份工业和出口较快增长，工业生产、服务业、市场销售、固定资产投资等均保持增长，就业和物价总体稳定，其中2月份全国城镇调查失业率5.5%，2月份居民消费价格同比下降0.2%；创新动能稳步增强，市场活力继续提升，国民经济持续稳定恢复。</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1" w:name="_Toc13479"/>
      <w:r>
        <w:rPr>
          <w:rFonts w:hint="eastAsia"/>
          <w:b w:val="0"/>
          <w:bCs/>
          <w:color w:val="auto"/>
          <w:sz w:val="28"/>
          <w:szCs w:val="28"/>
          <w:lang w:val="en-US" w:eastAsia="zh-CN"/>
        </w:rPr>
        <w:t>一、生产：中上游生产偏强，必需品生产偏弱</w:t>
      </w:r>
      <w:bookmarkEnd w:id="1"/>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今年1-2月工业增加值同比实际增长35.1%，生产明显好于去年底及正常年份同期，其主要原因在于就地过年的内部逻辑以及海外生产和需求复苏的外部动力。行业层面，中上游和下游出口产业链偏强，而下游必需品生产偏弱。</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2" w:name="_Toc10837"/>
      <w:r>
        <w:rPr>
          <w:rFonts w:hint="eastAsia"/>
          <w:b w:val="0"/>
          <w:bCs/>
          <w:color w:val="auto"/>
          <w:sz w:val="28"/>
          <w:szCs w:val="28"/>
          <w:lang w:val="en-US" w:eastAsia="zh-CN"/>
        </w:rPr>
        <w:t>二、制造业投资：高位回落，制造业投资仍在修复通道内</w:t>
      </w:r>
      <w:bookmarkEnd w:id="2"/>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1-2月制造业投资同比增长37.3%，较去年底高位回落，其中，中下游制造业投资增速修复空间较大。如1-2月医药制造业、专用设备制造业、化学原料及化学制品制造业、农副食品加工业投资增幅显著。</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3" w:name="_Toc2967"/>
      <w:r>
        <w:rPr>
          <w:rFonts w:hint="eastAsia"/>
          <w:b w:val="0"/>
          <w:bCs/>
          <w:color w:val="auto"/>
          <w:sz w:val="28"/>
          <w:szCs w:val="28"/>
          <w:lang w:val="en-US" w:eastAsia="zh-CN"/>
        </w:rPr>
        <w:t>三、房地产投资：韧性依旧，支撑力来自于销售热和竣工强</w:t>
      </w:r>
      <w:bookmarkEnd w:id="3"/>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1-2月房地产开发投资累计同比增长38.3%，地产韧性仍强，但较去年底边际上继续放缓。一方面，地产销售延续火热，带动房企开发资金表现稳定，暂未出现明显回落。另一方面，房企施工、竣工进度明显加快，但新开工面积有所走弱。</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4" w:name="_Toc14689"/>
      <w:r>
        <w:rPr>
          <w:rFonts w:hint="eastAsia"/>
          <w:b w:val="0"/>
          <w:bCs/>
          <w:color w:val="auto"/>
          <w:sz w:val="28"/>
          <w:szCs w:val="28"/>
          <w:lang w:val="en-US" w:eastAsia="zh-CN"/>
        </w:rPr>
        <w:t>四、基建投资：延续弱势，专项债缺位或导致新开工不足</w:t>
      </w:r>
      <w:bookmarkEnd w:id="4"/>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1-2月基建投资（不含电力）累计同比增长36.6%。短期来看，前两个月专项债缺位导致新开工项目不足，年初出口强劲也弱化基建托底诉求。政府工作报告有两个细节指向今年弱基建，一是专项债额度与中央预算内投资合计是首次负增长，二是强调专项债优先支持在建工程，而非加快开工新项目。</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5" w:name="_Toc12809"/>
      <w:r>
        <w:rPr>
          <w:rFonts w:hint="eastAsia"/>
          <w:b w:val="0"/>
          <w:bCs/>
          <w:color w:val="auto"/>
          <w:sz w:val="28"/>
          <w:szCs w:val="28"/>
          <w:lang w:val="en-US" w:eastAsia="zh-CN"/>
        </w:rPr>
        <w:t>五、消费：疫情反复与就地过年导致消费整体放缓、结构分化</w:t>
      </w:r>
      <w:bookmarkEnd w:id="5"/>
    </w:p>
    <w:p>
      <w:pPr>
        <w:keepNext w:val="0"/>
        <w:keepLines w:val="0"/>
        <w:pageBreakBefore w:val="0"/>
        <w:numPr>
          <w:ilvl w:val="0"/>
          <w:numId w:val="0"/>
        </w:numPr>
        <w:tabs>
          <w:tab w:val="left" w:pos="564"/>
        </w:tabs>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1-2月社会消费品零售总额同比33.8%，两年平均增长3.2%。消费增速边际放缓，或有以下因素，一是年初疫情反复对于当地是社交消费抑制，对于全国是预防性储蓄居高难下；二是就地过年虽利好大城市消费，但依然削弱了春节相关消费需求；三是地产销售火热对消费形成抑制。按消费类型看，以复合增速度量，商品零售表现优于餐饮。商品消费中，消费升级类商品销售快速增长，汽车消费相对平稳，家电、家具、建材消费相对偏弱。</w:t>
      </w:r>
    </w:p>
    <w:p>
      <w:pPr>
        <w:keepNext w:val="0"/>
        <w:keepLines w:val="0"/>
        <w:pageBreakBefore w:val="0"/>
        <w:numPr>
          <w:ilvl w:val="0"/>
          <w:numId w:val="0"/>
        </w:numPr>
        <w:tabs>
          <w:tab w:val="left" w:pos="1418"/>
        </w:tabs>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tabs>
          <w:tab w:val="left" w:pos="1418"/>
        </w:tabs>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小结：在“十四五”开局之年、新发展格局这个起点以及中国共产党建党100周年这个华诞，多力量叠加一起，可以说是短周期的复苏之年。预计制药、旅游、社区团购、高科技、直播电商、短视频、5G、大健康等领域会呈现快速发展趋势，房地产行业发展较为艰难。</w:t>
      </w:r>
    </w:p>
    <w:p>
      <w:pPr>
        <w:keepNext w:val="0"/>
        <w:keepLines w:val="0"/>
        <w:pageBreakBefore w:val="0"/>
        <w:numPr>
          <w:ilvl w:val="0"/>
          <w:numId w:val="0"/>
        </w:numPr>
        <w:tabs>
          <w:tab w:val="left" w:pos="1418"/>
        </w:tabs>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tabs>
          <w:tab w:val="left" w:pos="1418"/>
        </w:tabs>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pStyle w:val="2"/>
        <w:keepNext/>
        <w:keepLines/>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_GBK" w:hAnsi="方正小标宋_GBK" w:eastAsia="方正小标宋_GBK" w:cs="方正小标宋_GBK"/>
          <w:b w:val="0"/>
          <w:bCs/>
          <w:color w:val="auto"/>
          <w:sz w:val="28"/>
          <w:szCs w:val="28"/>
          <w:lang w:val="en-US" w:eastAsia="zh-CN"/>
        </w:rPr>
      </w:pPr>
      <w:bookmarkStart w:id="6" w:name="_Toc7661"/>
      <w:r>
        <w:rPr>
          <w:rFonts w:hint="eastAsia" w:ascii="方正小标宋_GBK" w:hAnsi="方正小标宋_GBK" w:eastAsia="方正小标宋_GBK" w:cs="方正小标宋_GBK"/>
          <w:b w:val="0"/>
          <w:bCs/>
          <w:color w:val="auto"/>
          <w:sz w:val="28"/>
          <w:szCs w:val="28"/>
          <w:lang w:val="en-US" w:eastAsia="zh-CN"/>
        </w:rPr>
        <w:t>第一章</w:t>
      </w:r>
      <w:bookmarkEnd w:id="6"/>
    </w:p>
    <w:p>
      <w:pPr>
        <w:pStyle w:val="2"/>
        <w:keepNext/>
        <w:keepLines/>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_GBK" w:hAnsi="方正小标宋_GBK" w:eastAsia="方正小标宋_GBK" w:cs="方正小标宋_GBK"/>
          <w:b w:val="0"/>
          <w:bCs/>
          <w:color w:val="auto"/>
          <w:sz w:val="28"/>
          <w:szCs w:val="28"/>
          <w:lang w:val="en-US" w:eastAsia="zh-CN"/>
        </w:rPr>
      </w:pPr>
      <w:bookmarkStart w:id="7" w:name="_Toc1241"/>
      <w:r>
        <w:rPr>
          <w:rFonts w:hint="eastAsia" w:ascii="方正小标宋_GBK" w:hAnsi="方正小标宋_GBK" w:eastAsia="方正小标宋_GBK" w:cs="方正小标宋_GBK"/>
          <w:b w:val="0"/>
          <w:bCs/>
          <w:color w:val="auto"/>
          <w:sz w:val="28"/>
          <w:szCs w:val="28"/>
          <w:lang w:val="en-US" w:eastAsia="zh-CN"/>
        </w:rPr>
        <w:t>健康旅游已成为增长最快新兴产业</w:t>
      </w:r>
      <w:bookmarkEnd w:id="7"/>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近年来，随着人们健康意识的增强以及旅游需求的多样化，旅游业与健康产业发展融合而成的健康旅游产业应运而生。健康旅游包含健康、旅游和康养等概念，是基于健康设施、自然环境与健康项目的一类旅游产品，为有康养需求的游客提供医疗、养生等服务，满足人们对健康养生和旅游出行的双重需求。健康旅游作为“旅游+”重点发展领域之一，正迎来发展的黄金时期。</w:t>
      </w:r>
    </w:p>
    <w:p>
      <w:pPr>
        <w:pStyle w:val="3"/>
        <w:keepNext/>
        <w:keepLines/>
        <w:pageBreakBefore w:val="0"/>
        <w:widowControl w:val="0"/>
        <w:numPr>
          <w:ilvl w:val="0"/>
          <w:numId w:val="1"/>
        </w:numPr>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8" w:name="_Toc3006"/>
      <w:r>
        <w:rPr>
          <w:rFonts w:hint="eastAsia"/>
          <w:b w:val="0"/>
          <w:bCs/>
          <w:color w:val="auto"/>
          <w:sz w:val="28"/>
          <w:szCs w:val="28"/>
          <w:lang w:val="en-US" w:eastAsia="zh-CN"/>
        </w:rPr>
        <w:t>国际健康旅游行业发展情况</w:t>
      </w:r>
      <w:bookmarkEnd w:id="8"/>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2017年全球健康经济规模约为4.2万亿美元，其中康养旅游市场规模约为6390亿美元，占比15.2%；2019年康养旅游市场规模约为7384亿美元，年复合增长率约7.5%。</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drawing>
          <wp:anchor distT="0" distB="0" distL="114300" distR="114300" simplePos="0" relativeHeight="251660288" behindDoc="1" locked="0" layoutInCell="1" allowOverlap="1">
            <wp:simplePos x="0" y="0"/>
            <wp:positionH relativeFrom="column">
              <wp:posOffset>1822450</wp:posOffset>
            </wp:positionH>
            <wp:positionV relativeFrom="paragraph">
              <wp:posOffset>469900</wp:posOffset>
            </wp:positionV>
            <wp:extent cx="3406140" cy="2034540"/>
            <wp:effectExtent l="15875" t="15875" r="26035" b="26035"/>
            <wp:wrapTight wrapText="bothSides">
              <wp:wrapPolygon>
                <wp:start x="-101" y="-169"/>
                <wp:lineTo x="-101" y="21472"/>
                <wp:lineTo x="21523" y="21472"/>
                <wp:lineTo x="21523" y="-169"/>
                <wp:lineTo x="-101" y="-169"/>
              </wp:wrapPolygon>
            </wp:wrapTight>
            <wp:docPr id="1" name="图片 1" descr="微信图片_2021020709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207090329"/>
                    <pic:cNvPicPr>
                      <a:picLocks noChangeAspect="1"/>
                    </pic:cNvPicPr>
                  </pic:nvPicPr>
                  <pic:blipFill>
                    <a:blip r:embed="rId8"/>
                    <a:stretch>
                      <a:fillRect/>
                    </a:stretch>
                  </pic:blipFill>
                  <pic:spPr>
                    <a:xfrm>
                      <a:off x="0" y="0"/>
                      <a:ext cx="3406140" cy="2034540"/>
                    </a:xfrm>
                    <a:prstGeom prst="rect">
                      <a:avLst/>
                    </a:prstGeom>
                    <a:ln w="15875">
                      <a:solidFill>
                        <a:schemeClr val="accent1"/>
                      </a:solidFill>
                    </a:ln>
                  </pic:spPr>
                </pic:pic>
              </a:graphicData>
            </a:graphic>
          </wp:anchor>
        </w:drawing>
      </w:r>
      <w:r>
        <w:rPr>
          <w:rFonts w:hint="eastAsia" w:ascii="仿宋_GB2312" w:hAnsi="仿宋_GB2312" w:eastAsia="仿宋_GB2312" w:cs="仿宋_GB2312"/>
          <w:i w:val="0"/>
          <w:caps w:val="0"/>
          <w:color w:val="auto"/>
          <w:spacing w:val="8"/>
          <w:sz w:val="28"/>
          <w:szCs w:val="28"/>
          <w:lang w:val="en-US" w:eastAsia="zh-CN"/>
        </w:rPr>
        <w:t>根据相关机构发布的数据显示，目前北美、亚太和欧洲三大区域的大健康市场最为成熟，市场规模分别为2828亿美元、2404亿美元以及2250亿美元。北美的美国和加拿大部分沿海地区以优美的海边景色吸引众多游客；亚太地区的以水疗而闻名的澳大利亚以及以旅游服务高性价比著称的泰国也形成了独特的健康旅游发展模式；欧洲的德国在康养旅游产业发展上的布局最早。</w:t>
      </w:r>
    </w:p>
    <w:p>
      <w:pPr>
        <w:pStyle w:val="3"/>
        <w:keepNext/>
        <w:keepLines/>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outlineLvl w:val="0"/>
        <w:rPr>
          <w:rFonts w:hint="default"/>
          <w:b w:val="0"/>
          <w:bCs/>
          <w:color w:val="auto"/>
          <w:sz w:val="28"/>
          <w:szCs w:val="28"/>
          <w:lang w:val="en-US" w:eastAsia="zh-CN"/>
        </w:rPr>
      </w:pPr>
      <w:bookmarkStart w:id="9" w:name="_Toc20936"/>
      <w:r>
        <w:rPr>
          <w:rFonts w:hint="eastAsia"/>
          <w:b w:val="0"/>
          <w:bCs/>
          <w:color w:val="auto"/>
          <w:sz w:val="28"/>
          <w:szCs w:val="28"/>
          <w:lang w:val="en-US" w:eastAsia="zh-CN"/>
        </w:rPr>
        <w:t>二、我国健康旅游行业发展现状</w:t>
      </w:r>
      <w:bookmarkEnd w:id="9"/>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相较于发达国家，我国受早期经济发展和居民收入水平的限制，健康旅游市场发展相对缓慢。上世纪90年代，一些房地产开发商了解到国外先进的健康旅游理念，在旅游资源丰富的海南投入大量资金，推动了康养旅游地产行业的快速发展。2013年，海南乐城成为中国第一个医疗旅游先试区，2017年又成功入选国家首批健康旅游示范基地。</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近年来，随着人们对医疗、健康和养老的重视程度越来越高、国民经济条件的改善以及全民出游理念的深入，人们对高品质健康生活的追求促使整个行业加速变革，产业结构不断优化，消费群体年轻化趋势明显。行业顺应人们转变的消费观念和显现的个性化需求，产品开发和服务模式都在不断创新，迎来新一轮的快速发展。</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drawing>
          <wp:anchor distT="0" distB="0" distL="114300" distR="114300" simplePos="0" relativeHeight="251661312" behindDoc="1" locked="0" layoutInCell="1" allowOverlap="1">
            <wp:simplePos x="0" y="0"/>
            <wp:positionH relativeFrom="column">
              <wp:posOffset>1586865</wp:posOffset>
            </wp:positionH>
            <wp:positionV relativeFrom="paragraph">
              <wp:posOffset>417830</wp:posOffset>
            </wp:positionV>
            <wp:extent cx="3573780" cy="2173605"/>
            <wp:effectExtent l="15875" t="15875" r="29845" b="20320"/>
            <wp:wrapTight wrapText="bothSides">
              <wp:wrapPolygon>
                <wp:start x="-96" y="-158"/>
                <wp:lineTo x="-96" y="21613"/>
                <wp:lineTo x="21550" y="21613"/>
                <wp:lineTo x="21550" y="-158"/>
                <wp:lineTo x="-96" y="-158"/>
              </wp:wrapPolygon>
            </wp:wrapTight>
            <wp:docPr id="2" name="图片 2" descr="微信图片_2021020709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207091709"/>
                    <pic:cNvPicPr>
                      <a:picLocks noChangeAspect="1"/>
                    </pic:cNvPicPr>
                  </pic:nvPicPr>
                  <pic:blipFill>
                    <a:blip r:embed="rId9"/>
                    <a:stretch>
                      <a:fillRect/>
                    </a:stretch>
                  </pic:blipFill>
                  <pic:spPr>
                    <a:xfrm>
                      <a:off x="0" y="0"/>
                      <a:ext cx="3573780" cy="2173605"/>
                    </a:xfrm>
                    <a:prstGeom prst="rect">
                      <a:avLst/>
                    </a:prstGeom>
                    <a:ln w="15875">
                      <a:solidFill>
                        <a:schemeClr val="accent1"/>
                      </a:solidFill>
                    </a:ln>
                  </pic:spPr>
                </pic:pic>
              </a:graphicData>
            </a:graphic>
          </wp:anchor>
        </w:drawing>
      </w:r>
      <w:r>
        <w:rPr>
          <w:rFonts w:hint="eastAsia" w:ascii="仿宋_GB2312" w:hAnsi="仿宋_GB2312" w:eastAsia="仿宋_GB2312" w:cs="仿宋_GB2312"/>
          <w:i w:val="0"/>
          <w:caps w:val="0"/>
          <w:color w:val="auto"/>
          <w:spacing w:val="8"/>
          <w:sz w:val="28"/>
          <w:szCs w:val="28"/>
          <w:lang w:val="en-US" w:eastAsia="zh-CN"/>
        </w:rPr>
        <w:t>据数据显示，2015年国内康养旅游占旅游交易规模的1%左右，约为400亿元；到了2019年市场规模高达829亿元，并保持持续增长劲头，预计2020年市场规模可达1000亿元左右。</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国内的康养旅游市场仍是蓝海市场，老龄化进程的不断加快使得人们的健康观念经历由“医”到“养”的转变。同时，在此次疫情的影响下，健康旅游需求迅速增加，人们对自身健康的重视程度也将升级，这不仅给行业带来了发展机遇，也在业务模式、服务质量等方面对行业提出了更高的要求。</w:t>
      </w:r>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10" w:name="_Toc1647"/>
      <w:r>
        <w:rPr>
          <w:rFonts w:hint="eastAsia" w:ascii="楷体_GB2312" w:hAnsi="楷体_GB2312" w:eastAsia="楷体_GB2312" w:cs="楷体_GB2312"/>
          <w:color w:val="auto"/>
          <w:sz w:val="28"/>
          <w:szCs w:val="28"/>
          <w:lang w:val="en-US" w:eastAsia="zh-CN"/>
        </w:rPr>
        <w:t>（一）国家政策和政府推动 支持行业快速发展</w:t>
      </w:r>
      <w:bookmarkEnd w:id="10"/>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国家出台一系列政策，促进和支持康养旅游行业的快速发展。2019年7月15日，国务院出台《健康中国行动（2019-2030年）》规划纲要，提出要支持发展健康医疗旅游等健康服务新业态，满足人民群众日益增长的多层次多样化健康需求。</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drawing>
          <wp:anchor distT="0" distB="0" distL="114300" distR="114300" simplePos="0" relativeHeight="251662336" behindDoc="1" locked="0" layoutInCell="1" allowOverlap="1">
            <wp:simplePos x="0" y="0"/>
            <wp:positionH relativeFrom="column">
              <wp:posOffset>687070</wp:posOffset>
            </wp:positionH>
            <wp:positionV relativeFrom="paragraph">
              <wp:posOffset>431165</wp:posOffset>
            </wp:positionV>
            <wp:extent cx="4572000" cy="2127250"/>
            <wp:effectExtent l="0" t="0" r="0" b="0"/>
            <wp:wrapTight wrapText="bothSides">
              <wp:wrapPolygon>
                <wp:start x="0" y="0"/>
                <wp:lineTo x="0" y="21471"/>
                <wp:lineTo x="21510" y="21471"/>
                <wp:lineTo x="21510" y="0"/>
                <wp:lineTo x="0" y="0"/>
              </wp:wrapPolygon>
            </wp:wrapTight>
            <wp:docPr id="3" name="图片 3" descr="微信图片_2021020709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207092814"/>
                    <pic:cNvPicPr>
                      <a:picLocks noChangeAspect="1"/>
                    </pic:cNvPicPr>
                  </pic:nvPicPr>
                  <pic:blipFill>
                    <a:blip r:embed="rId10"/>
                    <a:stretch>
                      <a:fillRect/>
                    </a:stretch>
                  </pic:blipFill>
                  <pic:spPr>
                    <a:xfrm>
                      <a:off x="0" y="0"/>
                      <a:ext cx="4572000" cy="2127250"/>
                    </a:xfrm>
                    <a:prstGeom prst="rect">
                      <a:avLst/>
                    </a:prstGeom>
                  </pic:spPr>
                </pic:pic>
              </a:graphicData>
            </a:graphic>
          </wp:anchor>
        </w:drawing>
      </w:r>
      <w:r>
        <w:rPr>
          <w:rFonts w:hint="eastAsia" w:ascii="仿宋_GB2312" w:hAnsi="仿宋_GB2312" w:eastAsia="仿宋_GB2312" w:cs="仿宋_GB2312"/>
          <w:i w:val="0"/>
          <w:caps w:val="0"/>
          <w:color w:val="auto"/>
          <w:spacing w:val="8"/>
          <w:sz w:val="28"/>
          <w:szCs w:val="28"/>
          <w:lang w:val="en-US" w:eastAsia="zh-CN"/>
        </w:rPr>
        <w:t>同时，各地政府将康养旅游列入“十三五”发展规划，结合地区特色制定具体的发展战略和产业扶持计划等。随着国家和各地政府在政策和产业发展方面的大力推动，行业未来将会持续健康发展。</w:t>
      </w:r>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11" w:name="_Toc20314"/>
      <w:r>
        <w:rPr>
          <w:rFonts w:hint="eastAsia" w:ascii="楷体_GB2312" w:hAnsi="楷体_GB2312" w:eastAsia="楷体_GB2312" w:cs="楷体_GB2312"/>
          <w:color w:val="auto"/>
          <w:sz w:val="28"/>
          <w:szCs w:val="28"/>
          <w:lang w:val="en-US" w:eastAsia="zh-CN"/>
        </w:rPr>
        <w:t>（二）市场需求潜力巨大 有待进一步挖掘</w:t>
      </w:r>
      <w:bookmarkEnd w:id="11"/>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我国正逐渐步入老龄化社会，预计2020年60岁以上老人总数将超过2.5亿，2027年将进入深度老龄化社会。随着我国老龄化社会问题不断凸显，医疗消费潜在群体不断扩大以及消费者对医疗保健重视程度的日益提升，人们在医疗保健方面的消费也在不断提高。国家统计局数据显示，2019年我国居民人均医疗保健消费支出为1902元，增长率为12.9%。</w:t>
      </w:r>
      <w:r>
        <w:rPr>
          <w:rFonts w:hint="eastAsia" w:ascii="仿宋_GB2312" w:hAnsi="仿宋_GB2312" w:eastAsia="仿宋_GB2312" w:cs="仿宋_GB2312"/>
          <w:i w:val="0"/>
          <w:caps w:val="0"/>
          <w:color w:val="auto"/>
          <w:spacing w:val="8"/>
          <w:sz w:val="28"/>
          <w:szCs w:val="28"/>
          <w:lang w:val="en-US" w:eastAsia="zh-CN"/>
        </w:rPr>
        <w:br w:type="textWrapping"/>
      </w:r>
      <w:r>
        <w:rPr>
          <w:rFonts w:hint="eastAsia" w:ascii="仿宋_GB2312" w:hAnsi="仿宋_GB2312" w:eastAsia="仿宋_GB2312" w:cs="仿宋_GB2312"/>
          <w:i w:val="0"/>
          <w:caps w:val="0"/>
          <w:color w:val="auto"/>
          <w:spacing w:val="8"/>
          <w:sz w:val="28"/>
          <w:szCs w:val="28"/>
          <w:lang w:val="en-US" w:eastAsia="zh-CN"/>
        </w:rPr>
        <w:t xml:space="preserve">    随着大健康时代的来临，消费者愈渐注重身体健康和品质生活，同时在医疗、保健、旅游等方面逐渐衍生出个性化、多元化的需求，未来人们会越来越青睐新型康养服务，健康旅游市场蕴藏巨大发展潜力。</w:t>
      </w:r>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12" w:name="_Toc3685"/>
      <w:r>
        <w:rPr>
          <w:rFonts w:hint="eastAsia" w:ascii="楷体_GB2312" w:hAnsi="楷体_GB2312" w:eastAsia="楷体_GB2312" w:cs="楷体_GB2312"/>
          <w:color w:val="auto"/>
          <w:sz w:val="28"/>
          <w:szCs w:val="28"/>
          <w:lang w:val="en-US" w:eastAsia="zh-CN"/>
        </w:rPr>
        <w:t>（三）疫情影响消费者观念 倒逼行业深刻变革</w:t>
      </w:r>
      <w:bookmarkEnd w:id="12"/>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在此次新冠疫情的冲击下，社会公众的消费和健康理念转变，对产品及服务的品质化要求越来越高，不断催生整个行业的发展变革。一方面消费者更加重视自身的生命健康，为健康旅游行业的发展奠定了基础。同时，消费者在健康生活上需求的转变将促使行业发展向集医疗、养生、休闲、旅游于一体的大健康方向转型。另一方面，消费者对旅游过程中安全、卫生、防疫的要求升级，倒逼行业不断优化服务模式、提升服务质量。</w:t>
      </w:r>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13" w:name="_Toc22667"/>
      <w:r>
        <w:rPr>
          <w:rFonts w:hint="eastAsia" w:ascii="楷体_GB2312" w:hAnsi="楷体_GB2312" w:eastAsia="楷体_GB2312" w:cs="楷体_GB2312"/>
          <w:color w:val="auto"/>
          <w:sz w:val="28"/>
          <w:szCs w:val="28"/>
          <w:lang w:val="en-US" w:eastAsia="zh-CN"/>
        </w:rPr>
        <w:t>（四）行业监管不规范 企业竞争激烈</w:t>
      </w:r>
      <w:bookmarkEnd w:id="13"/>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目前，随着国家政策的有力推动以及市场需求的不断增加，健康旅游行业快速发展的同时，竞争日益激烈、缺乏规范、服务同质化以及盈利难等问题逐渐凸显。</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一是我国医疗旅游市场相关法律法规体系不健全，行业缺乏有效监管，部分机构存在恶意竞争；二是国内健康旅游项目产品单一、服务创新水平较低，品牌差异化优势不明显，在产品开发、服务质量以及活动形式等方面缺乏核心竞争优势；三是健康旅游项目开展一般需要涉及医疗、旅游、餐饮、住宿等诸多产业，前期资金投入量大，资金回收周期较长，在如今消费者和市场培育不成熟的情形下，企业盈利难问题凸显。</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b w:val="0"/>
          <w:bCs/>
          <w:color w:val="auto"/>
          <w:sz w:val="28"/>
          <w:szCs w:val="28"/>
          <w:lang w:val="en-US" w:eastAsia="zh-CN"/>
        </w:rPr>
      </w:pPr>
      <w:bookmarkStart w:id="14" w:name="_Toc9779"/>
      <w:r>
        <w:rPr>
          <w:rFonts w:hint="eastAsia"/>
          <w:b w:val="0"/>
          <w:bCs/>
          <w:color w:val="auto"/>
          <w:sz w:val="28"/>
          <w:szCs w:val="28"/>
          <w:lang w:val="en-US" w:eastAsia="zh-CN"/>
        </w:rPr>
        <w:t>三、健康旅游行业市场竞争分析</w:t>
      </w:r>
      <w:bookmarkEnd w:id="14"/>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drawing>
          <wp:anchor distT="0" distB="0" distL="114300" distR="114300" simplePos="0" relativeHeight="251663360" behindDoc="1" locked="0" layoutInCell="1" allowOverlap="1">
            <wp:simplePos x="0" y="0"/>
            <wp:positionH relativeFrom="column">
              <wp:posOffset>12700</wp:posOffset>
            </wp:positionH>
            <wp:positionV relativeFrom="paragraph">
              <wp:posOffset>877570</wp:posOffset>
            </wp:positionV>
            <wp:extent cx="3767455" cy="2288540"/>
            <wp:effectExtent l="12700" t="12700" r="29845" b="22860"/>
            <wp:wrapTight wrapText="bothSides">
              <wp:wrapPolygon>
                <wp:start x="-91" y="-150"/>
                <wp:lineTo x="-91" y="21606"/>
                <wp:lineTo x="21534" y="21606"/>
                <wp:lineTo x="21534" y="-150"/>
                <wp:lineTo x="-91" y="-150"/>
              </wp:wrapPolygon>
            </wp:wrapTight>
            <wp:docPr id="4" name="图片 4" descr="微信图片_2021020710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207100803"/>
                    <pic:cNvPicPr>
                      <a:picLocks noChangeAspect="1"/>
                    </pic:cNvPicPr>
                  </pic:nvPicPr>
                  <pic:blipFill>
                    <a:blip r:embed="rId11"/>
                    <a:stretch>
                      <a:fillRect/>
                    </a:stretch>
                  </pic:blipFill>
                  <pic:spPr>
                    <a:xfrm>
                      <a:off x="0" y="0"/>
                      <a:ext cx="3767455" cy="2288540"/>
                    </a:xfrm>
                    <a:prstGeom prst="rect">
                      <a:avLst/>
                    </a:prstGeom>
                    <a:ln w="15875">
                      <a:solidFill>
                        <a:schemeClr val="accent1"/>
                      </a:solidFill>
                    </a:ln>
                  </pic:spPr>
                </pic:pic>
              </a:graphicData>
            </a:graphic>
          </wp:anchor>
        </w:drawing>
      </w:r>
      <w:r>
        <w:rPr>
          <w:rFonts w:hint="eastAsia" w:ascii="仿宋_GB2312" w:hAnsi="仿宋_GB2312" w:eastAsia="仿宋_GB2312" w:cs="仿宋_GB2312"/>
          <w:i w:val="0"/>
          <w:caps w:val="0"/>
          <w:color w:val="auto"/>
          <w:spacing w:val="8"/>
          <w:sz w:val="28"/>
          <w:szCs w:val="28"/>
          <w:lang w:val="en-US" w:eastAsia="zh-CN"/>
        </w:rPr>
        <w:t>目前我国健康旅游行业企业大部分处于初创阶段，品牌影响力较低。结合行业区域分布以及企业市场规模布局来看，我国健康旅游各区域市场规模与旅游资源、医疗水平成正比。2018年，华东和华南地区以丰富的旅游资源和较高的医疗水平，在区域市场规模上处于领先地位，占比分别为28.19%和23.9%。</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b w:val="0"/>
          <w:bCs/>
          <w:color w:val="auto"/>
          <w:sz w:val="28"/>
          <w:szCs w:val="28"/>
          <w:lang w:val="en-US" w:eastAsia="zh-CN"/>
        </w:rPr>
      </w:pPr>
      <w:bookmarkStart w:id="15" w:name="_Toc13090"/>
      <w:r>
        <w:rPr>
          <w:rFonts w:hint="eastAsia"/>
          <w:b w:val="0"/>
          <w:bCs/>
          <w:color w:val="auto"/>
          <w:sz w:val="28"/>
          <w:szCs w:val="28"/>
          <w:lang w:val="en-US" w:eastAsia="zh-CN"/>
        </w:rPr>
        <w:t>四、健康旅游行业主要业务模式</w:t>
      </w:r>
      <w:bookmarkEnd w:id="15"/>
      <w:r>
        <w:rPr>
          <w:rFonts w:hint="eastAsia"/>
          <w:b w:val="0"/>
          <w:bCs/>
          <w:color w:val="auto"/>
          <w:sz w:val="28"/>
          <w:szCs w:val="28"/>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随着人们健康观念的加强，健康旅游行业将逐步走向大众化，业务模式也更加多元化。基于产品和服务方面的差异，康养旅游业务模式主要可分为生态养生、运动休闲、休闲度假、医疗保健以及文化养生五种类型。现阶段我国健康旅游行业主流的业务模式，包括“林旅融合”“农旅融合”“体旅融合”“医旅融合”以及“文旅融合”模式。顺应“旅游+”时代的发展趋势，通过将旅游与特定领域的完美结合，实现健康旅游行业的纵向延伸和创新发展。</w:t>
      </w:r>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16" w:name="_Toc31765"/>
      <w:r>
        <w:rPr>
          <w:rFonts w:hint="eastAsia" w:ascii="楷体_GB2312" w:hAnsi="楷体_GB2312" w:eastAsia="楷体_GB2312" w:cs="楷体_GB2312"/>
          <w:color w:val="auto"/>
          <w:sz w:val="28"/>
          <w:szCs w:val="28"/>
          <w:lang w:val="en-US" w:eastAsia="zh-CN"/>
        </w:rPr>
        <w:t>（一）林旅融合</w:t>
      </w:r>
      <w:bookmarkEnd w:id="16"/>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“林旅融合”康养旅游模式是指将旅游目的地的森林资源与康养旅游结合起来，依托大自然的生态资源和自然环境为游客提供放松身心和健康疗养的体验式服务。</w:t>
      </w:r>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17" w:name="_Toc7598"/>
      <w:r>
        <w:rPr>
          <w:rFonts w:hint="eastAsia" w:ascii="楷体_GB2312" w:hAnsi="楷体_GB2312" w:eastAsia="楷体_GB2312" w:cs="楷体_GB2312"/>
          <w:color w:val="auto"/>
          <w:sz w:val="28"/>
          <w:szCs w:val="28"/>
          <w:lang w:val="en-US" w:eastAsia="zh-CN"/>
        </w:rPr>
        <w:t>（二）农旅融合</w:t>
      </w:r>
      <w:bookmarkEnd w:id="17"/>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“农旅融合”康养旅游模式是指充分结合农业与旅游业，通过优美的自然人文景观和各式各样的美食，为游客提供丰富多彩的农村生活体验，让游客有充足时间体验和享受生活。</w:t>
      </w:r>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18" w:name="_Toc8315"/>
      <w:r>
        <w:rPr>
          <w:rFonts w:hint="eastAsia" w:ascii="楷体_GB2312" w:hAnsi="楷体_GB2312" w:eastAsia="楷体_GB2312" w:cs="楷体_GB2312"/>
          <w:color w:val="auto"/>
          <w:sz w:val="28"/>
          <w:szCs w:val="28"/>
          <w:lang w:val="en-US" w:eastAsia="zh-CN"/>
        </w:rPr>
        <w:t>（三）体旅融合</w:t>
      </w:r>
      <w:bookmarkEnd w:id="18"/>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“体旅融合”康养旅游模式是指依托旅游目的地的山水资源，开展跑步、单车、登山、游泳等各式各样有利于人们身体健康的体育活动，鼓励游客积极参与，提升游客的身体素质。</w:t>
      </w:r>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19" w:name="_Toc2681"/>
      <w:r>
        <w:rPr>
          <w:rFonts w:hint="eastAsia" w:ascii="楷体_GB2312" w:hAnsi="楷体_GB2312" w:eastAsia="楷体_GB2312" w:cs="楷体_GB2312"/>
          <w:color w:val="auto"/>
          <w:sz w:val="28"/>
          <w:szCs w:val="28"/>
          <w:lang w:val="en-US" w:eastAsia="zh-CN"/>
        </w:rPr>
        <w:t>（四）医旅融合</w:t>
      </w:r>
      <w:bookmarkEnd w:id="19"/>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“医旅融合”康养旅游模式是指充分结合旅游目的地的自然资源和医疗机构的医疗资源，建设有益于游客身心的康养基地，与医疗服务机构合作开展包括护理、保健、体检以及康复等一系列活动。</w:t>
      </w:r>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20" w:name="_Toc14779"/>
      <w:r>
        <w:rPr>
          <w:rFonts w:hint="eastAsia" w:ascii="楷体_GB2312" w:hAnsi="楷体_GB2312" w:eastAsia="楷体_GB2312" w:cs="楷体_GB2312"/>
          <w:color w:val="auto"/>
          <w:sz w:val="28"/>
          <w:szCs w:val="28"/>
          <w:lang w:val="en-US" w:eastAsia="zh-CN"/>
        </w:rPr>
        <w:t>（五）文旅融合</w:t>
      </w:r>
      <w:bookmarkEnd w:id="20"/>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“文旅融合”康养旅游模式是指依托地方传统文化，开展丰富多彩的展现当地特色文化的活动，借助文化资源来提升游客体验，丰富游客的精神境界。</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b w:val="0"/>
          <w:bCs/>
          <w:color w:val="auto"/>
          <w:sz w:val="28"/>
          <w:szCs w:val="28"/>
          <w:lang w:val="en-US" w:eastAsia="zh-CN"/>
        </w:rPr>
      </w:pPr>
      <w:bookmarkStart w:id="21" w:name="_Toc22256"/>
      <w:r>
        <w:rPr>
          <w:rFonts w:hint="eastAsia"/>
          <w:b w:val="0"/>
          <w:bCs/>
          <w:color w:val="auto"/>
          <w:sz w:val="28"/>
          <w:szCs w:val="28"/>
          <w:lang w:val="en-US" w:eastAsia="zh-CN"/>
        </w:rPr>
        <w:t>五、健康旅游行业发展趋势</w:t>
      </w:r>
      <w:bookmarkEnd w:id="21"/>
      <w:r>
        <w:rPr>
          <w:rFonts w:hint="eastAsia"/>
          <w:b w:val="0"/>
          <w:bCs/>
          <w:color w:val="auto"/>
          <w:sz w:val="28"/>
          <w:szCs w:val="28"/>
          <w:lang w:val="en-US" w:eastAsia="zh-CN"/>
        </w:rPr>
        <w:t xml:space="preserve">   </w:t>
      </w:r>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22" w:name="_Toc26198"/>
      <w:r>
        <w:rPr>
          <w:rFonts w:hint="eastAsia" w:ascii="楷体_GB2312" w:hAnsi="楷体_GB2312" w:eastAsia="楷体_GB2312" w:cs="楷体_GB2312"/>
          <w:color w:val="auto"/>
          <w:sz w:val="28"/>
          <w:szCs w:val="28"/>
          <w:lang w:val="en-US" w:eastAsia="zh-CN"/>
        </w:rPr>
        <w:t>（一）行业规范化发展提升品牌影响力</w:t>
      </w:r>
      <w:bookmarkEnd w:id="22"/>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随着消费者收入水平的提升以及需求的增加，消费者对健康旅游行业的关注度以及对所提供产品和服务的要求也在不断提升，有关部门在行业监管方面不断深入，行业发展趋于规范。各企业通过与外部运营商、医疗机构以及体检机构开展合作以联合打造个性化产品，不断提升品牌影响力。</w:t>
      </w:r>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23" w:name="_Toc2885"/>
      <w:r>
        <w:rPr>
          <w:rFonts w:hint="eastAsia" w:ascii="楷体_GB2312" w:hAnsi="楷体_GB2312" w:eastAsia="楷体_GB2312" w:cs="楷体_GB2312"/>
          <w:color w:val="auto"/>
          <w:sz w:val="28"/>
          <w:szCs w:val="28"/>
          <w:lang w:val="en-US" w:eastAsia="zh-CN"/>
        </w:rPr>
        <w:t>（二）多元化、个性化需求助力产品转型升级</w:t>
      </w:r>
      <w:bookmarkEnd w:id="23"/>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当前，康养旅游市场的各个项目及产品正不断优化完善以满足不同年龄段消费者的多元化、个性化需求。以健康为关键要素，融合医疗、旅游、养生、运动等产业的新模式成为众多企业目前探索的方向。企业只有通过不断的产品迭代和服务创新，才能在下一阶段市场竞争中取得优势地位。</w:t>
      </w:r>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24" w:name="_Toc19072"/>
      <w:r>
        <w:rPr>
          <w:rFonts w:hint="eastAsia" w:ascii="楷体_GB2312" w:hAnsi="楷体_GB2312" w:eastAsia="楷体_GB2312" w:cs="楷体_GB2312"/>
          <w:color w:val="auto"/>
          <w:sz w:val="28"/>
          <w:szCs w:val="28"/>
          <w:lang w:val="en-US" w:eastAsia="zh-CN"/>
        </w:rPr>
        <w:t>（三）产业融合基础上的产品组合逐渐受到青睐</w:t>
      </w:r>
      <w:bookmarkEnd w:id="24"/>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在产业融合带动区域经济发展的大背景下，大多数企业正在经历从传统度假区、旅游园区到特色旅游小镇再到大型产业旅游城模式的升级。随着消费者对健康品质生活的多元化追求，医疗、养生、旅游、运动等多产业多领域的融合将成为未来健康旅游发展新趋势。</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b w:val="0"/>
          <w:bCs/>
          <w:color w:val="auto"/>
          <w:sz w:val="28"/>
          <w:szCs w:val="28"/>
          <w:lang w:val="en-US" w:eastAsia="zh-CN"/>
        </w:rPr>
      </w:pPr>
      <w:bookmarkStart w:id="25" w:name="_Toc19563"/>
      <w:r>
        <w:rPr>
          <w:rFonts w:hint="eastAsia"/>
          <w:b w:val="0"/>
          <w:bCs/>
          <w:color w:val="auto"/>
          <w:sz w:val="28"/>
          <w:szCs w:val="28"/>
          <w:lang w:val="en-US" w:eastAsia="zh-CN"/>
        </w:rPr>
        <w:t>六、健康旅游行业发展策略</w:t>
      </w:r>
      <w:bookmarkEnd w:id="25"/>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26" w:name="_Toc27333"/>
      <w:r>
        <w:rPr>
          <w:rFonts w:hint="eastAsia" w:ascii="楷体_GB2312" w:hAnsi="楷体_GB2312" w:eastAsia="楷体_GB2312" w:cs="楷体_GB2312"/>
          <w:color w:val="auto"/>
          <w:sz w:val="28"/>
          <w:szCs w:val="28"/>
          <w:lang w:val="en-US" w:eastAsia="zh-CN"/>
        </w:rPr>
        <w:t>（一）加快发展健康旅游新业态</w:t>
      </w:r>
      <w:bookmarkEnd w:id="26"/>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一方面，结合当地资源开发多样化的健康旅游项目及产品，打造一批具特色的健康旅游示范地区。另一方面，大力开发中医药健康旅游、康复疗养旅游和高端医疗旅游等新型旅游模式，通过产业融合促进当地快速发展，实现产业发展与当地经济双赢的目标。</w:t>
      </w:r>
    </w:p>
    <w:p>
      <w:pPr>
        <w:pStyle w:val="4"/>
        <w:keepNext/>
        <w:keepLines/>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楷体_GB2312" w:hAnsi="楷体_GB2312" w:eastAsia="楷体_GB2312" w:cs="楷体_GB2312"/>
          <w:color w:val="auto"/>
          <w:sz w:val="28"/>
          <w:szCs w:val="28"/>
          <w:lang w:val="en-US" w:eastAsia="zh-CN"/>
        </w:rPr>
      </w:pPr>
      <w:bookmarkStart w:id="27" w:name="_Toc14995"/>
      <w:r>
        <w:rPr>
          <w:rFonts w:hint="eastAsia" w:ascii="楷体_GB2312" w:hAnsi="楷体_GB2312" w:eastAsia="楷体_GB2312" w:cs="楷体_GB2312"/>
          <w:color w:val="auto"/>
          <w:sz w:val="28"/>
          <w:szCs w:val="28"/>
          <w:lang w:val="en-US" w:eastAsia="zh-CN"/>
        </w:rPr>
        <w:t>（二）推动数字经济与健康旅游产业融合发展</w:t>
      </w:r>
      <w:bookmarkEnd w:id="27"/>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在数字化发展突飞猛进的今天，智能化应用的落地实施都是数字经济与旅游产业创新融合的最新实践。未来健康旅游产业将进一步推动数字化转型，将大数据、云计算、人工智能等新一代技术应用于企业项目的实施落地过程中，加大企业的数字化建设力度；利用新一代信息技术整合企业拥有的各种资源，为消费者提供健康、旅游、医疗、养生、健身、运动等一系列的优质服务。</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小结：在更加追求品质、深度体验的新消费观下，适应游客越来越多元化的需求，丰富旅游产业内涵成为当务之急。在市政府工作报告中也提出，实施“健康开封行动”，而健康旅游作为新型的旅游行业发展业态，我们可以考虑结合公司自身优势，在项目整体谋划中，培育旅游新业态，通过业务模式创新以及产业数字化融合等方式，提供具有核心竞争力和独特卖点的产品，促使项目开发路径更加多元化，不断提升旅游吸引力。</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p>
    <w:p>
      <w:pPr>
        <w:pStyle w:val="2"/>
        <w:keepNext/>
        <w:keepLines/>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_GBK" w:hAnsi="方正小标宋_GBK" w:eastAsia="方正小标宋_GBK" w:cs="方正小标宋_GBK"/>
          <w:b w:val="0"/>
          <w:bCs/>
          <w:color w:val="auto"/>
          <w:sz w:val="28"/>
          <w:szCs w:val="28"/>
          <w:lang w:val="en-US" w:eastAsia="zh-CN"/>
        </w:rPr>
      </w:pPr>
      <w:bookmarkStart w:id="28" w:name="_Toc17669"/>
      <w:r>
        <w:rPr>
          <w:rFonts w:hint="eastAsia" w:ascii="方正小标宋_GBK" w:hAnsi="方正小标宋_GBK" w:eastAsia="方正小标宋_GBK" w:cs="方正小标宋_GBK"/>
          <w:b w:val="0"/>
          <w:bCs/>
          <w:color w:val="auto"/>
          <w:sz w:val="28"/>
          <w:szCs w:val="28"/>
          <w:lang w:val="en-US" w:eastAsia="zh-CN"/>
        </w:rPr>
        <w:t>第二章</w:t>
      </w:r>
      <w:bookmarkEnd w:id="28"/>
    </w:p>
    <w:p>
      <w:pPr>
        <w:pStyle w:val="2"/>
        <w:keepNext/>
        <w:keepLines/>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_GBK" w:hAnsi="方正小标宋_GBK" w:eastAsia="方正小标宋_GBK" w:cs="方正小标宋_GBK"/>
          <w:b w:val="0"/>
          <w:bCs/>
          <w:color w:val="auto"/>
          <w:sz w:val="28"/>
          <w:szCs w:val="28"/>
          <w:lang w:val="en-US" w:eastAsia="zh-CN"/>
        </w:rPr>
      </w:pPr>
      <w:bookmarkStart w:id="29" w:name="_Toc2250"/>
      <w:r>
        <w:rPr>
          <w:rFonts w:hint="eastAsia" w:ascii="方正小标宋_GBK" w:hAnsi="方正小标宋_GBK" w:eastAsia="方正小标宋_GBK" w:cs="方正小标宋_GBK"/>
          <w:b w:val="0"/>
          <w:bCs/>
          <w:color w:val="auto"/>
          <w:sz w:val="28"/>
          <w:szCs w:val="28"/>
          <w:lang w:val="en-US" w:eastAsia="zh-CN"/>
        </w:rPr>
        <w:t>二月地产月报</w:t>
      </w:r>
      <w:bookmarkEnd w:id="29"/>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30" w:name="_Toc25117"/>
      <w:r>
        <w:rPr>
          <w:rFonts w:hint="eastAsia"/>
          <w:b w:val="0"/>
          <w:bCs/>
          <w:color w:val="auto"/>
          <w:sz w:val="28"/>
          <w:szCs w:val="28"/>
          <w:lang w:val="en-US" w:eastAsia="zh-CN"/>
        </w:rPr>
        <w:t>一、政策速递</w:t>
      </w:r>
      <w:bookmarkEnd w:id="30"/>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bCs/>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补丁类政策不断推进，“两集中”提高土地市场透明度。</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在政策调控方面，</w:t>
      </w:r>
      <w:r>
        <w:rPr>
          <w:rFonts w:hint="eastAsia" w:ascii="仿宋_GB2312" w:hAnsi="仿宋_GB2312" w:eastAsia="仿宋_GB2312" w:cs="仿宋_GB2312"/>
          <w:b w:val="0"/>
          <w:bCs w:val="0"/>
          <w:i w:val="0"/>
          <w:caps w:val="0"/>
          <w:color w:val="auto"/>
          <w:spacing w:val="8"/>
          <w:sz w:val="28"/>
          <w:szCs w:val="28"/>
          <w:lang w:val="en-US" w:eastAsia="zh-CN"/>
        </w:rPr>
        <w:t>采用积分制购房政策主要为了保障无房家庭优先购房，打击投机性需求。同时，二手房市场价格长期高于新房市场，价格超出正常水平。</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在租赁房建设方面，</w:t>
      </w:r>
      <w:r>
        <w:rPr>
          <w:rFonts w:hint="eastAsia" w:ascii="仿宋_GB2312" w:hAnsi="仿宋_GB2312" w:eastAsia="仿宋_GB2312" w:cs="仿宋_GB2312"/>
          <w:b w:val="0"/>
          <w:bCs w:val="0"/>
          <w:i w:val="0"/>
          <w:caps w:val="0"/>
          <w:color w:val="auto"/>
          <w:spacing w:val="8"/>
          <w:sz w:val="28"/>
          <w:szCs w:val="28"/>
          <w:lang w:val="en-US" w:eastAsia="zh-CN"/>
        </w:rPr>
        <w:t>本月更强调对租赁住房的监管，一方面能够促进租赁行业间的良性竞争，加快市场化推进；另一方面有利于保障租房居民的居住条件和租金利益。</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在土地管理方面，</w:t>
      </w:r>
      <w:r>
        <w:rPr>
          <w:rFonts w:hint="eastAsia" w:ascii="仿宋_GB2312" w:hAnsi="仿宋_GB2312" w:eastAsia="仿宋_GB2312" w:cs="仿宋_GB2312"/>
          <w:b w:val="0"/>
          <w:bCs w:val="0"/>
          <w:i w:val="0"/>
          <w:caps w:val="0"/>
          <w:color w:val="auto"/>
          <w:spacing w:val="8"/>
          <w:sz w:val="28"/>
          <w:szCs w:val="28"/>
          <w:lang w:val="en-US" w:eastAsia="zh-CN"/>
        </w:rPr>
        <w:t>近年来土地市场竞争火热，相关政策出台的主要目的是提高土地市场透明度，鼓励各类主体理性竞争，以达到稳定地价的效果。另外对土地竞拍方式的完善，增强了对房企的筛选，资金充裕、开发能力强的房企更容易竞得优质地块。</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31" w:name="_Toc15988"/>
      <w:r>
        <w:rPr>
          <w:rFonts w:hint="eastAsia"/>
          <w:b w:val="0"/>
          <w:bCs/>
          <w:color w:val="auto"/>
          <w:sz w:val="28"/>
          <w:szCs w:val="28"/>
          <w:lang w:val="en-US" w:eastAsia="zh-CN"/>
        </w:rPr>
        <w:t>二、住宅市场</w:t>
      </w:r>
      <w:bookmarkEnd w:id="31"/>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bCs/>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多城市住宅成交环比下降，市场热度恢复有待持续关注。</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2月商品住宅销售面积为1678.4万平米，同比上升386.7%，环比下降32.8%，受2020年同期基数较低影响，同比大幅增长。</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b/>
          <w:bCs/>
          <w:i w:val="0"/>
          <w:iCs w:val="0"/>
          <w:caps w:val="0"/>
          <w:color w:val="auto"/>
          <w:spacing w:val="8"/>
          <w:sz w:val="28"/>
          <w:szCs w:val="28"/>
          <w:lang w:val="en-US" w:eastAsia="zh-CN"/>
        </w:rPr>
        <w:t>一线城市</w:t>
      </w:r>
      <w:r>
        <w:rPr>
          <w:rFonts w:hint="eastAsia" w:ascii="仿宋_GB2312" w:hAnsi="仿宋_GB2312" w:eastAsia="仿宋_GB2312" w:cs="仿宋_GB2312"/>
          <w:i w:val="0"/>
          <w:caps w:val="0"/>
          <w:color w:val="auto"/>
          <w:spacing w:val="8"/>
          <w:sz w:val="28"/>
          <w:szCs w:val="28"/>
          <w:lang w:val="en-US" w:eastAsia="zh-CN"/>
        </w:rPr>
        <w:t>商品住宅成交同比上行310.4%，环比下行50.9%；</w:t>
      </w:r>
      <w:r>
        <w:rPr>
          <w:rFonts w:hint="eastAsia" w:ascii="仿宋_GB2312" w:hAnsi="仿宋_GB2312" w:eastAsia="仿宋_GB2312" w:cs="仿宋_GB2312"/>
          <w:b/>
          <w:bCs/>
          <w:i w:val="0"/>
          <w:caps w:val="0"/>
          <w:color w:val="auto"/>
          <w:spacing w:val="8"/>
          <w:sz w:val="28"/>
          <w:szCs w:val="28"/>
          <w:lang w:val="en-US" w:eastAsia="zh-CN"/>
        </w:rPr>
        <w:t>核心二线城市</w:t>
      </w:r>
      <w:r>
        <w:rPr>
          <w:rFonts w:hint="eastAsia" w:ascii="仿宋_GB2312" w:hAnsi="仿宋_GB2312" w:eastAsia="仿宋_GB2312" w:cs="仿宋_GB2312"/>
          <w:i w:val="0"/>
          <w:caps w:val="0"/>
          <w:color w:val="auto"/>
          <w:spacing w:val="8"/>
          <w:sz w:val="28"/>
          <w:szCs w:val="28"/>
          <w:lang w:val="en-US" w:eastAsia="zh-CN"/>
        </w:rPr>
        <w:t>住宅成交量达到520.8万平米，同比上升221.2%，环比下降31.4%；</w:t>
      </w:r>
      <w:r>
        <w:rPr>
          <w:rFonts w:hint="eastAsia" w:ascii="仿宋_GB2312" w:hAnsi="仿宋_GB2312" w:eastAsia="仿宋_GB2312" w:cs="仿宋_GB2312"/>
          <w:b/>
          <w:bCs/>
          <w:i w:val="0"/>
          <w:caps w:val="0"/>
          <w:color w:val="auto"/>
          <w:spacing w:val="8"/>
          <w:sz w:val="28"/>
          <w:szCs w:val="28"/>
          <w:lang w:val="en-US" w:eastAsia="zh-CN"/>
        </w:rPr>
        <w:t>普通二线城市</w:t>
      </w:r>
      <w:r>
        <w:rPr>
          <w:rFonts w:hint="eastAsia" w:ascii="仿宋_GB2312" w:hAnsi="仿宋_GB2312" w:eastAsia="仿宋_GB2312" w:cs="仿宋_GB2312"/>
          <w:i w:val="0"/>
          <w:caps w:val="0"/>
          <w:color w:val="auto"/>
          <w:spacing w:val="8"/>
          <w:sz w:val="28"/>
          <w:szCs w:val="28"/>
          <w:lang w:val="en-US" w:eastAsia="zh-CN"/>
        </w:rPr>
        <w:t>住宅成交量达到180.5万平米，同比上行332.8%，环比下行49.4%；</w:t>
      </w:r>
      <w:r>
        <w:rPr>
          <w:rFonts w:hint="eastAsia" w:ascii="仿宋_GB2312" w:hAnsi="仿宋_GB2312" w:eastAsia="仿宋_GB2312" w:cs="仿宋_GB2312"/>
          <w:b/>
          <w:bCs/>
          <w:i w:val="0"/>
          <w:caps w:val="0"/>
          <w:color w:val="auto"/>
          <w:spacing w:val="8"/>
          <w:sz w:val="28"/>
          <w:szCs w:val="28"/>
          <w:lang w:val="en-US" w:eastAsia="zh-CN"/>
        </w:rPr>
        <w:t>三四线城市</w:t>
      </w:r>
      <w:r>
        <w:rPr>
          <w:rFonts w:hint="eastAsia" w:ascii="仿宋_GB2312" w:hAnsi="仿宋_GB2312" w:eastAsia="仿宋_GB2312" w:cs="仿宋_GB2312"/>
          <w:i w:val="0"/>
          <w:caps w:val="0"/>
          <w:color w:val="auto"/>
          <w:spacing w:val="8"/>
          <w:sz w:val="28"/>
          <w:szCs w:val="28"/>
          <w:lang w:val="en-US" w:eastAsia="zh-CN"/>
        </w:rPr>
        <w:t>2月份住宅成交量740.7万平米，同比上行787.7%，环比下行17.7%。</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总的来说，当前的货币环境支持偏高端市场发展，但持续性有待继续关注。</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32" w:name="_Toc11757"/>
      <w:r>
        <w:rPr>
          <w:rFonts w:hint="eastAsia"/>
          <w:b w:val="0"/>
          <w:bCs/>
          <w:color w:val="auto"/>
          <w:sz w:val="28"/>
          <w:szCs w:val="28"/>
          <w:lang w:val="en-US" w:eastAsia="zh-CN"/>
        </w:rPr>
        <w:t>三、土地市场</w:t>
      </w:r>
      <w:bookmarkEnd w:id="32"/>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bCs/>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就地过年降三四线预期，投资聚焦高能级城市。</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bCs/>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2月重点城市供应的住宅用地涉规划建筑面积11350.4万平米，同比和环比分别下降5%与44%。成交总建筑面积为8184.4万平米，同比和环比分别下降9%和67%。</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按能级城市划分后，</w:t>
      </w:r>
      <w:r>
        <w:rPr>
          <w:rFonts w:hint="eastAsia" w:ascii="仿宋_GB2312" w:hAnsi="仿宋_GB2312" w:eastAsia="仿宋_GB2312" w:cs="仿宋_GB2312"/>
          <w:i w:val="0"/>
          <w:caps w:val="0"/>
          <w:color w:val="auto"/>
          <w:spacing w:val="8"/>
          <w:sz w:val="28"/>
          <w:szCs w:val="28"/>
          <w:lang w:val="en-US" w:eastAsia="zh-CN"/>
        </w:rPr>
        <w:t>一线城市土地成交总量同环比下行，但是由于供地质量提升，所以溢价率上升，且维持在中上水平。核心二线和普通二线城市2月土地成交量价同比均实现增长。三四线城市在珠三角和长三角两大区域的带动下，实现了成交楼面价和溢价率同比、环比上升，但是在就地过年的号召下，可能影响房企对三四线城市的需求预期，减缓房企在三四线城市的拿地积极性。</w:t>
      </w:r>
    </w:p>
    <w:p>
      <w:pPr>
        <w:pageBreakBefore w:val="0"/>
        <w:kinsoku/>
        <w:wordWrap/>
        <w:overflowPunct/>
        <w:topLinePunct w:val="0"/>
        <w:autoSpaceDE/>
        <w:autoSpaceDN/>
        <w:bidi w:val="0"/>
        <w:adjustRightInd/>
        <w:snapToGrid/>
        <w:spacing w:line="560" w:lineRule="exact"/>
        <w:ind w:firstLine="1405" w:firstLineChars="500"/>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2月土地供应规划建设面积情况（万平方）</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1925"/>
        <w:gridCol w:w="2062"/>
        <w:gridCol w:w="1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9" w:type="dxa"/>
            <w:shd w:val="clear" w:color="auto" w:fill="9CC2E5" w:themeFill="accent1" w:themeFillTint="99"/>
            <w:vAlign w:val="center"/>
          </w:tcPr>
          <w:p>
            <w:pPr>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城市名称</w:t>
            </w:r>
          </w:p>
        </w:tc>
        <w:tc>
          <w:tcPr>
            <w:tcW w:w="1925" w:type="dxa"/>
            <w:shd w:val="clear" w:color="auto" w:fill="9CC2E5" w:themeFill="accent1" w:themeFillTint="99"/>
            <w:vAlign w:val="center"/>
          </w:tcPr>
          <w:p>
            <w:pPr>
              <w:pageBreakBefore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2月供应面积</w:t>
            </w:r>
          </w:p>
        </w:tc>
        <w:tc>
          <w:tcPr>
            <w:tcW w:w="2062" w:type="dxa"/>
            <w:shd w:val="clear" w:color="auto" w:fill="9CC2E5" w:themeFill="accent1" w:themeFillTint="99"/>
            <w:vAlign w:val="center"/>
          </w:tcPr>
          <w:p>
            <w:pPr>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同比</w:t>
            </w:r>
          </w:p>
        </w:tc>
        <w:tc>
          <w:tcPr>
            <w:tcW w:w="1880" w:type="dxa"/>
            <w:shd w:val="clear" w:color="auto" w:fill="9CC2E5" w:themeFill="accent1" w:themeFillTint="99"/>
            <w:vAlign w:val="center"/>
          </w:tcPr>
          <w:p>
            <w:pPr>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环比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9" w:type="dxa"/>
            <w:vAlign w:val="center"/>
          </w:tcPr>
          <w:p>
            <w:pPr>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28"/>
                <w:szCs w:val="28"/>
                <w:vertAlign w:val="baseline"/>
                <w:lang w:eastAsia="zh-CN"/>
              </w:rPr>
            </w:pPr>
            <w:r>
              <w:rPr>
                <w:rFonts w:hint="eastAsia" w:ascii="仿宋_GB2312" w:hAnsi="仿宋_GB2312" w:eastAsia="仿宋_GB2312" w:cs="仿宋_GB2312"/>
                <w:b w:val="0"/>
                <w:bCs w:val="0"/>
                <w:color w:val="auto"/>
                <w:sz w:val="28"/>
                <w:szCs w:val="28"/>
                <w:vertAlign w:val="baseline"/>
                <w:lang w:eastAsia="zh-CN"/>
              </w:rPr>
              <w:t>一线城市</w:t>
            </w:r>
          </w:p>
        </w:tc>
        <w:tc>
          <w:tcPr>
            <w:tcW w:w="1925" w:type="dxa"/>
            <w:vAlign w:val="center"/>
          </w:tcPr>
          <w:p>
            <w:pPr>
              <w:pageBreakBefore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103.8</w:t>
            </w:r>
          </w:p>
        </w:tc>
        <w:tc>
          <w:tcPr>
            <w:tcW w:w="2062" w:type="dxa"/>
            <w:vAlign w:val="center"/>
          </w:tcPr>
          <w:p>
            <w:pPr>
              <w:pageBreakBefore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-67％</w:t>
            </w:r>
          </w:p>
        </w:tc>
        <w:tc>
          <w:tcPr>
            <w:tcW w:w="1880" w:type="dxa"/>
            <w:vAlign w:val="center"/>
          </w:tcPr>
          <w:p>
            <w:pPr>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519" w:type="dxa"/>
            <w:vAlign w:val="center"/>
          </w:tcPr>
          <w:p>
            <w:pPr>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28"/>
                <w:szCs w:val="28"/>
                <w:vertAlign w:val="baseline"/>
                <w:lang w:eastAsia="zh-CN"/>
              </w:rPr>
            </w:pPr>
            <w:r>
              <w:rPr>
                <w:rFonts w:hint="eastAsia" w:ascii="仿宋_GB2312" w:hAnsi="仿宋_GB2312" w:eastAsia="仿宋_GB2312" w:cs="仿宋_GB2312"/>
                <w:b w:val="0"/>
                <w:bCs w:val="0"/>
                <w:color w:val="auto"/>
                <w:sz w:val="28"/>
                <w:szCs w:val="28"/>
                <w:vertAlign w:val="baseline"/>
                <w:lang w:eastAsia="zh-CN"/>
              </w:rPr>
              <w:t>核心二线城市</w:t>
            </w:r>
          </w:p>
        </w:tc>
        <w:tc>
          <w:tcPr>
            <w:tcW w:w="1925" w:type="dxa"/>
            <w:vAlign w:val="center"/>
          </w:tcPr>
          <w:p>
            <w:pPr>
              <w:pageBreakBefore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882.8</w:t>
            </w:r>
          </w:p>
        </w:tc>
        <w:tc>
          <w:tcPr>
            <w:tcW w:w="2062" w:type="dxa"/>
            <w:vAlign w:val="center"/>
          </w:tcPr>
          <w:p>
            <w:pPr>
              <w:pageBreakBefore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-28％</w:t>
            </w:r>
          </w:p>
        </w:tc>
        <w:tc>
          <w:tcPr>
            <w:tcW w:w="1880" w:type="dxa"/>
            <w:vAlign w:val="center"/>
          </w:tcPr>
          <w:p>
            <w:pPr>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9" w:type="dxa"/>
            <w:vAlign w:val="center"/>
          </w:tcPr>
          <w:p>
            <w:pPr>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28"/>
                <w:szCs w:val="28"/>
                <w:vertAlign w:val="baseline"/>
                <w:lang w:eastAsia="zh-CN"/>
              </w:rPr>
            </w:pPr>
            <w:r>
              <w:rPr>
                <w:rFonts w:hint="eastAsia" w:ascii="仿宋_GB2312" w:hAnsi="仿宋_GB2312" w:eastAsia="仿宋_GB2312" w:cs="仿宋_GB2312"/>
                <w:b w:val="0"/>
                <w:bCs w:val="0"/>
                <w:color w:val="auto"/>
                <w:sz w:val="28"/>
                <w:szCs w:val="28"/>
                <w:vertAlign w:val="baseline"/>
                <w:lang w:eastAsia="zh-CN"/>
              </w:rPr>
              <w:t>普通二线城市</w:t>
            </w:r>
          </w:p>
        </w:tc>
        <w:tc>
          <w:tcPr>
            <w:tcW w:w="1925" w:type="dxa"/>
            <w:vAlign w:val="center"/>
          </w:tcPr>
          <w:p>
            <w:pPr>
              <w:pageBreakBefore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1568.4</w:t>
            </w:r>
          </w:p>
        </w:tc>
        <w:tc>
          <w:tcPr>
            <w:tcW w:w="2062" w:type="dxa"/>
            <w:vAlign w:val="center"/>
          </w:tcPr>
          <w:p>
            <w:pPr>
              <w:pageBreakBefore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-6％</w:t>
            </w:r>
          </w:p>
        </w:tc>
        <w:tc>
          <w:tcPr>
            <w:tcW w:w="1880" w:type="dxa"/>
            <w:vAlign w:val="center"/>
          </w:tcPr>
          <w:p>
            <w:pPr>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9" w:type="dxa"/>
            <w:vAlign w:val="center"/>
          </w:tcPr>
          <w:p>
            <w:pPr>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28"/>
                <w:szCs w:val="28"/>
                <w:vertAlign w:val="baseline"/>
                <w:lang w:eastAsia="zh-CN"/>
              </w:rPr>
            </w:pPr>
            <w:r>
              <w:rPr>
                <w:rFonts w:hint="eastAsia" w:ascii="仿宋_GB2312" w:hAnsi="仿宋_GB2312" w:eastAsia="仿宋_GB2312" w:cs="仿宋_GB2312"/>
                <w:b w:val="0"/>
                <w:bCs w:val="0"/>
                <w:color w:val="auto"/>
                <w:sz w:val="28"/>
                <w:szCs w:val="28"/>
                <w:vertAlign w:val="baseline"/>
                <w:lang w:eastAsia="zh-CN"/>
              </w:rPr>
              <w:t>三、四线城市</w:t>
            </w:r>
          </w:p>
        </w:tc>
        <w:tc>
          <w:tcPr>
            <w:tcW w:w="1925" w:type="dxa"/>
            <w:vAlign w:val="center"/>
          </w:tcPr>
          <w:p>
            <w:pPr>
              <w:pageBreakBefore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8795.4</w:t>
            </w:r>
          </w:p>
        </w:tc>
        <w:tc>
          <w:tcPr>
            <w:tcW w:w="2062" w:type="dxa"/>
            <w:vAlign w:val="center"/>
          </w:tcPr>
          <w:p>
            <w:pPr>
              <w:pageBreakBefore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1％</w:t>
            </w:r>
          </w:p>
        </w:tc>
        <w:tc>
          <w:tcPr>
            <w:tcW w:w="1880" w:type="dxa"/>
            <w:vAlign w:val="center"/>
          </w:tcPr>
          <w:p>
            <w:pPr>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-47％</w:t>
            </w:r>
          </w:p>
        </w:tc>
      </w:tr>
    </w:tbl>
    <w:p>
      <w:pPr>
        <w:pageBreakBefore w:val="0"/>
        <w:kinsoku/>
        <w:wordWrap/>
        <w:overflowPunct/>
        <w:topLinePunct w:val="0"/>
        <w:autoSpaceDE/>
        <w:autoSpaceDN/>
        <w:bidi w:val="0"/>
        <w:adjustRightInd/>
        <w:snapToGrid/>
        <w:spacing w:line="560" w:lineRule="exact"/>
        <w:ind w:firstLine="1405" w:firstLineChars="500"/>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2月各能级城市成交规划建筑面积情况（万平方）</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1925"/>
        <w:gridCol w:w="2062"/>
        <w:gridCol w:w="1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9" w:type="dxa"/>
            <w:shd w:val="clear" w:color="auto" w:fill="9CC2E5" w:themeFill="accent1" w:themeFillTint="99"/>
            <w:vAlign w:val="center"/>
          </w:tcPr>
          <w:p>
            <w:pPr>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城市名称</w:t>
            </w:r>
          </w:p>
        </w:tc>
        <w:tc>
          <w:tcPr>
            <w:tcW w:w="1925" w:type="dxa"/>
            <w:shd w:val="clear" w:color="auto" w:fill="9CC2E5" w:themeFill="accent1" w:themeFillTint="99"/>
            <w:vAlign w:val="center"/>
          </w:tcPr>
          <w:p>
            <w:pPr>
              <w:pageBreakBefore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bCs/>
                <w:color w:val="auto"/>
                <w:sz w:val="28"/>
                <w:szCs w:val="28"/>
                <w:vertAlign w:val="baseline"/>
                <w:lang w:val="en-US" w:eastAsia="zh-CN"/>
              </w:rPr>
            </w:pPr>
            <w:r>
              <w:rPr>
                <w:rFonts w:hint="eastAsia" w:ascii="仿宋_GB2312" w:hAnsi="仿宋_GB2312" w:eastAsia="仿宋_GB2312" w:cs="仿宋_GB2312"/>
                <w:b/>
                <w:bCs/>
                <w:color w:val="auto"/>
                <w:sz w:val="28"/>
                <w:szCs w:val="28"/>
                <w:vertAlign w:val="baseline"/>
                <w:lang w:val="en-US" w:eastAsia="zh-CN"/>
              </w:rPr>
              <w:t>2月成交面积</w:t>
            </w:r>
          </w:p>
        </w:tc>
        <w:tc>
          <w:tcPr>
            <w:tcW w:w="2062" w:type="dxa"/>
            <w:shd w:val="clear" w:color="auto" w:fill="9CC2E5" w:themeFill="accent1" w:themeFillTint="99"/>
            <w:vAlign w:val="center"/>
          </w:tcPr>
          <w:p>
            <w:pPr>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同比</w:t>
            </w:r>
          </w:p>
        </w:tc>
        <w:tc>
          <w:tcPr>
            <w:tcW w:w="1880" w:type="dxa"/>
            <w:shd w:val="clear" w:color="auto" w:fill="9CC2E5" w:themeFill="accent1" w:themeFillTint="99"/>
            <w:vAlign w:val="center"/>
          </w:tcPr>
          <w:p>
            <w:pPr>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color w:val="auto"/>
                <w:sz w:val="28"/>
                <w:szCs w:val="28"/>
                <w:vertAlign w:val="baseline"/>
                <w:lang w:eastAsia="zh-CN"/>
              </w:rPr>
            </w:pPr>
            <w:r>
              <w:rPr>
                <w:rFonts w:hint="eastAsia" w:ascii="仿宋_GB2312" w:hAnsi="仿宋_GB2312" w:eastAsia="仿宋_GB2312" w:cs="仿宋_GB2312"/>
                <w:b/>
                <w:bCs/>
                <w:color w:val="auto"/>
                <w:sz w:val="28"/>
                <w:szCs w:val="28"/>
                <w:vertAlign w:val="baseline"/>
                <w:lang w:eastAsia="zh-CN"/>
              </w:rPr>
              <w:t>环比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9" w:type="dxa"/>
            <w:vAlign w:val="center"/>
          </w:tcPr>
          <w:p>
            <w:pPr>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28"/>
                <w:szCs w:val="28"/>
                <w:vertAlign w:val="baseline"/>
                <w:lang w:eastAsia="zh-CN"/>
              </w:rPr>
            </w:pPr>
            <w:r>
              <w:rPr>
                <w:rFonts w:hint="eastAsia" w:ascii="仿宋_GB2312" w:hAnsi="仿宋_GB2312" w:eastAsia="仿宋_GB2312" w:cs="仿宋_GB2312"/>
                <w:b w:val="0"/>
                <w:bCs w:val="0"/>
                <w:color w:val="auto"/>
                <w:sz w:val="28"/>
                <w:szCs w:val="28"/>
                <w:vertAlign w:val="baseline"/>
                <w:lang w:eastAsia="zh-CN"/>
              </w:rPr>
              <w:t>一线城市</w:t>
            </w:r>
          </w:p>
        </w:tc>
        <w:tc>
          <w:tcPr>
            <w:tcW w:w="1925" w:type="dxa"/>
            <w:vAlign w:val="center"/>
          </w:tcPr>
          <w:p>
            <w:pPr>
              <w:pageBreakBefore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296.1</w:t>
            </w:r>
          </w:p>
        </w:tc>
        <w:tc>
          <w:tcPr>
            <w:tcW w:w="2062" w:type="dxa"/>
            <w:vAlign w:val="center"/>
          </w:tcPr>
          <w:p>
            <w:pPr>
              <w:pageBreakBefore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-17％</w:t>
            </w:r>
          </w:p>
        </w:tc>
        <w:tc>
          <w:tcPr>
            <w:tcW w:w="1880" w:type="dxa"/>
            <w:vAlign w:val="center"/>
          </w:tcPr>
          <w:p>
            <w:pPr>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519" w:type="dxa"/>
            <w:vAlign w:val="center"/>
          </w:tcPr>
          <w:p>
            <w:pPr>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28"/>
                <w:szCs w:val="28"/>
                <w:vertAlign w:val="baseline"/>
                <w:lang w:eastAsia="zh-CN"/>
              </w:rPr>
            </w:pPr>
            <w:r>
              <w:rPr>
                <w:rFonts w:hint="eastAsia" w:ascii="仿宋_GB2312" w:hAnsi="仿宋_GB2312" w:eastAsia="仿宋_GB2312" w:cs="仿宋_GB2312"/>
                <w:b w:val="0"/>
                <w:bCs w:val="0"/>
                <w:color w:val="auto"/>
                <w:sz w:val="28"/>
                <w:szCs w:val="28"/>
                <w:vertAlign w:val="baseline"/>
                <w:lang w:eastAsia="zh-CN"/>
              </w:rPr>
              <w:t>核心二线城市</w:t>
            </w:r>
          </w:p>
        </w:tc>
        <w:tc>
          <w:tcPr>
            <w:tcW w:w="1925" w:type="dxa"/>
            <w:vAlign w:val="center"/>
          </w:tcPr>
          <w:p>
            <w:pPr>
              <w:pageBreakBefore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696.6</w:t>
            </w:r>
          </w:p>
        </w:tc>
        <w:tc>
          <w:tcPr>
            <w:tcW w:w="2062" w:type="dxa"/>
            <w:vAlign w:val="center"/>
          </w:tcPr>
          <w:p>
            <w:pPr>
              <w:pageBreakBefore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12％</w:t>
            </w:r>
          </w:p>
        </w:tc>
        <w:tc>
          <w:tcPr>
            <w:tcW w:w="1880" w:type="dxa"/>
            <w:vAlign w:val="center"/>
          </w:tcPr>
          <w:p>
            <w:pPr>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9" w:type="dxa"/>
            <w:vAlign w:val="center"/>
          </w:tcPr>
          <w:p>
            <w:pPr>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28"/>
                <w:szCs w:val="28"/>
                <w:vertAlign w:val="baseline"/>
                <w:lang w:eastAsia="zh-CN"/>
              </w:rPr>
            </w:pPr>
            <w:r>
              <w:rPr>
                <w:rFonts w:hint="eastAsia" w:ascii="仿宋_GB2312" w:hAnsi="仿宋_GB2312" w:eastAsia="仿宋_GB2312" w:cs="仿宋_GB2312"/>
                <w:b w:val="0"/>
                <w:bCs w:val="0"/>
                <w:color w:val="auto"/>
                <w:sz w:val="28"/>
                <w:szCs w:val="28"/>
                <w:vertAlign w:val="baseline"/>
                <w:lang w:eastAsia="zh-CN"/>
              </w:rPr>
              <w:t>普通二线城市</w:t>
            </w:r>
          </w:p>
        </w:tc>
        <w:tc>
          <w:tcPr>
            <w:tcW w:w="1925" w:type="dxa"/>
            <w:vAlign w:val="center"/>
          </w:tcPr>
          <w:p>
            <w:pPr>
              <w:pageBreakBefore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1229.4</w:t>
            </w:r>
          </w:p>
        </w:tc>
        <w:tc>
          <w:tcPr>
            <w:tcW w:w="2062" w:type="dxa"/>
            <w:vAlign w:val="center"/>
          </w:tcPr>
          <w:p>
            <w:pPr>
              <w:pageBreakBefore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9％</w:t>
            </w:r>
          </w:p>
        </w:tc>
        <w:tc>
          <w:tcPr>
            <w:tcW w:w="1880" w:type="dxa"/>
            <w:vAlign w:val="center"/>
          </w:tcPr>
          <w:p>
            <w:pPr>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9" w:type="dxa"/>
            <w:vAlign w:val="center"/>
          </w:tcPr>
          <w:p>
            <w:pPr>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28"/>
                <w:szCs w:val="28"/>
                <w:vertAlign w:val="baseline"/>
                <w:lang w:eastAsia="zh-CN"/>
              </w:rPr>
            </w:pPr>
            <w:r>
              <w:rPr>
                <w:rFonts w:hint="eastAsia" w:ascii="仿宋_GB2312" w:hAnsi="仿宋_GB2312" w:eastAsia="仿宋_GB2312" w:cs="仿宋_GB2312"/>
                <w:b w:val="0"/>
                <w:bCs w:val="0"/>
                <w:color w:val="auto"/>
                <w:sz w:val="28"/>
                <w:szCs w:val="28"/>
                <w:vertAlign w:val="baseline"/>
                <w:lang w:eastAsia="zh-CN"/>
              </w:rPr>
              <w:t>三、四线城市</w:t>
            </w:r>
          </w:p>
        </w:tc>
        <w:tc>
          <w:tcPr>
            <w:tcW w:w="1925" w:type="dxa"/>
            <w:vAlign w:val="center"/>
          </w:tcPr>
          <w:p>
            <w:pPr>
              <w:pageBreakBefore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5962</w:t>
            </w:r>
          </w:p>
        </w:tc>
        <w:tc>
          <w:tcPr>
            <w:tcW w:w="2062" w:type="dxa"/>
            <w:vAlign w:val="center"/>
          </w:tcPr>
          <w:p>
            <w:pPr>
              <w:pageBreakBefore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-5％</w:t>
            </w:r>
          </w:p>
        </w:tc>
        <w:tc>
          <w:tcPr>
            <w:tcW w:w="1880" w:type="dxa"/>
            <w:vAlign w:val="center"/>
          </w:tcPr>
          <w:p>
            <w:pPr>
              <w:pageBreakBefore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color w:val="auto"/>
                <w:sz w:val="28"/>
                <w:szCs w:val="28"/>
                <w:vertAlign w:val="baseline"/>
                <w:lang w:val="en-US" w:eastAsia="zh-CN"/>
              </w:rPr>
            </w:pPr>
            <w:r>
              <w:rPr>
                <w:rFonts w:hint="eastAsia" w:ascii="仿宋_GB2312" w:hAnsi="仿宋_GB2312" w:eastAsia="仿宋_GB2312" w:cs="仿宋_GB2312"/>
                <w:b w:val="0"/>
                <w:bCs w:val="0"/>
                <w:color w:val="auto"/>
                <w:sz w:val="28"/>
                <w:szCs w:val="28"/>
                <w:vertAlign w:val="baseline"/>
                <w:lang w:val="en-US" w:eastAsia="zh-CN"/>
              </w:rPr>
              <w:t>-41％</w:t>
            </w:r>
          </w:p>
        </w:tc>
      </w:tr>
    </w:tbl>
    <w:p>
      <w:pPr>
        <w:pStyle w:val="3"/>
        <w:keepNext/>
        <w:keepLines/>
        <w:pageBreakBefore w:val="0"/>
        <w:widowControl w:val="0"/>
        <w:tabs>
          <w:tab w:val="center" w:pos="4153"/>
        </w:tabs>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33" w:name="_Toc22966"/>
      <w:r>
        <w:rPr>
          <w:rFonts w:hint="eastAsia"/>
          <w:b w:val="0"/>
          <w:bCs/>
          <w:color w:val="auto"/>
          <w:sz w:val="28"/>
          <w:szCs w:val="28"/>
          <w:lang w:val="en-US" w:eastAsia="zh-CN"/>
        </w:rPr>
        <w:t>四、企业表现</w:t>
      </w:r>
      <w:bookmarkEnd w:id="33"/>
    </w:p>
    <w:p>
      <w:pPr>
        <w:keepNext w:val="0"/>
        <w:keepLines w:val="0"/>
        <w:pageBreakBefore w:val="0"/>
        <w:widowControl w:val="0"/>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bCs/>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销售金额加速增长，融资市场较为冷淡。</w:t>
      </w:r>
    </w:p>
    <w:p>
      <w:pPr>
        <w:keepNext w:val="0"/>
        <w:keepLines w:val="0"/>
        <w:pageBreakBefore w:val="0"/>
        <w:widowControl w:val="0"/>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从投资金额上看，</w:t>
      </w:r>
      <w:r>
        <w:rPr>
          <w:rFonts w:hint="eastAsia" w:ascii="仿宋_GB2312" w:hAnsi="仿宋_GB2312" w:eastAsia="仿宋_GB2312" w:cs="仿宋_GB2312"/>
          <w:b w:val="0"/>
          <w:bCs w:val="0"/>
          <w:i w:val="0"/>
          <w:caps w:val="0"/>
          <w:color w:val="auto"/>
          <w:spacing w:val="8"/>
          <w:sz w:val="28"/>
          <w:szCs w:val="28"/>
          <w:lang w:val="en-US" w:eastAsia="zh-CN"/>
        </w:rPr>
        <w:t>1-2月16家典型房企的投资金额为1756.2亿元，同比上升30.0%。除一线城市成交规模下降之外，其余能级城市的投资力度均呈大幅上升趋势。受到2020年同期低基期影响，2021年2月TOP200房企整体销售业绩同比增速继续加速向上，同比增速达到了106.6%，整体销售情况仍然呈持续向好态势。</w:t>
      </w:r>
    </w:p>
    <w:p>
      <w:pPr>
        <w:keepNext w:val="0"/>
        <w:keepLines w:val="0"/>
        <w:pageBreakBefore w:val="0"/>
        <w:widowControl w:val="0"/>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融资方面，</w:t>
      </w:r>
      <w:r>
        <w:rPr>
          <w:rFonts w:hint="eastAsia" w:ascii="仿宋_GB2312" w:hAnsi="仿宋_GB2312" w:eastAsia="仿宋_GB2312" w:cs="仿宋_GB2312"/>
          <w:b w:val="0"/>
          <w:bCs w:val="0"/>
          <w:i w:val="0"/>
          <w:caps w:val="0"/>
          <w:color w:val="auto"/>
          <w:spacing w:val="8"/>
          <w:sz w:val="28"/>
          <w:szCs w:val="28"/>
          <w:lang w:val="en-US" w:eastAsia="zh-CN"/>
        </w:rPr>
        <w:t>2月融资规模大幅回落，房企信用债融资规模259.2亿元，环比下降67.4%，总融资规模创下自2019年10月以来的新低，临近春节假期，2月的融资活动相对较为清淡。</w:t>
      </w:r>
    </w:p>
    <w:p>
      <w:pPr>
        <w:keepNext w:val="0"/>
        <w:keepLines w:val="0"/>
        <w:pageBreakBefore w:val="0"/>
        <w:widowControl w:val="0"/>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bCs/>
          <w:i w:val="0"/>
          <w:caps w:val="0"/>
          <w:color w:val="auto"/>
          <w:spacing w:val="8"/>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小结：2020年的最后一天，央行发文，银行发放房地产贷款全面收紧，这个重磅“限贷令”，外加房企的“三道红线”，对房企和购房者又是一个新的考验。结合今年政府工作报告提出的部署，未提及“房地产税”“长效机制”“房不刺经”等关键词，两会之后，预计调控加码将成为主流，逐步清理炒房客，对于购房者而言，在今年房贷额度有限的情况下，房贷利率大概率会继续上调；而经济、人口基本面较弱的三四五线城市，在缺少产业支撑和人口持续流入的状况下，未来房价可能会有所下行。</w:t>
      </w:r>
    </w:p>
    <w:p>
      <w:pPr>
        <w:pStyle w:val="2"/>
        <w:keepNext/>
        <w:keepLines/>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_GBK" w:hAnsi="方正小标宋_GBK" w:eastAsia="方正小标宋_GBK" w:cs="方正小标宋_GBK"/>
          <w:b w:val="0"/>
          <w:bCs/>
          <w:color w:val="auto"/>
          <w:sz w:val="28"/>
          <w:szCs w:val="28"/>
          <w:lang w:val="en-US" w:eastAsia="zh-CN"/>
        </w:rPr>
      </w:pPr>
      <w:bookmarkStart w:id="34" w:name="_Toc4268"/>
      <w:r>
        <w:rPr>
          <w:rFonts w:hint="eastAsia" w:ascii="方正小标宋_GBK" w:hAnsi="方正小标宋_GBK" w:eastAsia="方正小标宋_GBK" w:cs="方正小标宋_GBK"/>
          <w:b w:val="0"/>
          <w:bCs/>
          <w:color w:val="auto"/>
          <w:sz w:val="28"/>
          <w:szCs w:val="28"/>
          <w:lang w:val="en-US" w:eastAsia="zh-CN"/>
        </w:rPr>
        <w:t>第三章</w:t>
      </w:r>
      <w:bookmarkEnd w:id="34"/>
    </w:p>
    <w:p>
      <w:pPr>
        <w:pStyle w:val="2"/>
        <w:keepNext/>
        <w:keepLines/>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_GBK" w:hAnsi="方正小标宋_GBK" w:eastAsia="方正小标宋_GBK" w:cs="方正小标宋_GBK"/>
          <w:b w:val="0"/>
          <w:bCs/>
          <w:color w:val="auto"/>
          <w:sz w:val="28"/>
          <w:szCs w:val="28"/>
          <w:lang w:val="en-US" w:eastAsia="zh-CN"/>
        </w:rPr>
      </w:pPr>
      <w:bookmarkStart w:id="35" w:name="_Toc522"/>
      <w:r>
        <w:rPr>
          <w:rFonts w:hint="eastAsia" w:ascii="方正小标宋_GBK" w:hAnsi="方正小标宋_GBK" w:eastAsia="方正小标宋_GBK" w:cs="方正小标宋_GBK"/>
          <w:b w:val="0"/>
          <w:bCs/>
          <w:color w:val="auto"/>
          <w:sz w:val="28"/>
          <w:szCs w:val="28"/>
          <w:lang w:val="en-US" w:eastAsia="zh-CN"/>
        </w:rPr>
        <w:t>政府工作报告重点摘要</w:t>
      </w:r>
      <w:bookmarkEnd w:id="35"/>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36" w:name="_Toc23453"/>
      <w:r>
        <w:rPr>
          <w:rFonts w:hint="eastAsia"/>
          <w:b w:val="0"/>
          <w:bCs/>
          <w:color w:val="auto"/>
          <w:sz w:val="28"/>
          <w:szCs w:val="28"/>
          <w:lang w:val="en-US" w:eastAsia="zh-CN"/>
        </w:rPr>
        <w:t>一、去年工作回顾</w:t>
      </w:r>
      <w:bookmarkEnd w:id="36"/>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疫情防控取得重大战略成果；在全球主要经济体中唯一实现经济正增长；全年国内生产总值增长2.3%；为市场主体减负超过2.6万亿元；城镇新增就业1186万人；年初剩余的551万农村贫困人口全部脱贫、52个贫困县全部摘帽；国内疫情防控仍有薄弱环节，经济恢复基础尚不牢固。</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37" w:name="_Toc13457"/>
      <w:r>
        <w:rPr>
          <w:rFonts w:hint="eastAsia"/>
          <w:b w:val="0"/>
          <w:bCs/>
          <w:color w:val="auto"/>
          <w:sz w:val="28"/>
          <w:szCs w:val="28"/>
          <w:lang w:val="en-US" w:eastAsia="zh-CN"/>
        </w:rPr>
        <w:t>二、“十四五”主要目标</w:t>
      </w:r>
      <w:bookmarkEnd w:id="37"/>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经济运行保持在合理区间；常住人口城镇化率提高到65%；人均预期寿命再提高1岁；城镇调查失业率控制在5.5%以内；基本养老保险参保率提高到95%。</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38" w:name="_Toc27807"/>
      <w:r>
        <w:rPr>
          <w:rFonts w:hint="eastAsia"/>
          <w:b w:val="0"/>
          <w:bCs/>
          <w:color w:val="auto"/>
          <w:sz w:val="28"/>
          <w:szCs w:val="28"/>
          <w:lang w:val="en-US" w:eastAsia="zh-CN"/>
        </w:rPr>
        <w:t>三、今年主要目标</w:t>
      </w:r>
      <w:bookmarkEnd w:id="38"/>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国内生产总值增长6%以上；城镇新增就业1100万人以上；居民消费价格涨幅3%左右；单位国内生产总值能耗降低3%左右；粮食产量保持在1.3万亿斤以上。</w:t>
      </w:r>
    </w:p>
    <w:p>
      <w:pPr>
        <w:pStyle w:val="3"/>
        <w:keepNext/>
        <w:keepLines/>
        <w:pageBreakBefore w:val="0"/>
        <w:widowControl w:val="0"/>
        <w:kinsoku/>
        <w:wordWrap/>
        <w:overflowPunct/>
        <w:topLinePunct w:val="0"/>
        <w:autoSpaceDE/>
        <w:autoSpaceDN/>
        <w:bidi w:val="0"/>
        <w:adjustRightInd/>
        <w:snapToGrid/>
        <w:spacing w:line="400" w:lineRule="exact"/>
        <w:ind w:firstLine="560" w:firstLineChars="200"/>
        <w:textAlignment w:val="auto"/>
        <w:outlineLvl w:val="0"/>
        <w:rPr>
          <w:rFonts w:hint="eastAsia"/>
          <w:b w:val="0"/>
          <w:bCs/>
          <w:color w:val="auto"/>
          <w:sz w:val="28"/>
          <w:szCs w:val="28"/>
          <w:lang w:val="en-US" w:eastAsia="zh-CN"/>
        </w:rPr>
      </w:pPr>
      <w:bookmarkStart w:id="39" w:name="_Toc24546"/>
      <w:r>
        <w:rPr>
          <w:rFonts w:hint="eastAsia"/>
          <w:b w:val="0"/>
          <w:bCs/>
          <w:color w:val="auto"/>
          <w:sz w:val="28"/>
          <w:szCs w:val="28"/>
          <w:lang w:val="en-US" w:eastAsia="zh-CN"/>
        </w:rPr>
        <w:t>四、今年部分重点工作</w:t>
      </w:r>
      <w:bookmarkEnd w:id="39"/>
    </w:p>
    <w:p>
      <w:pPr>
        <w:keepNext w:val="0"/>
        <w:keepLines w:val="0"/>
        <w:pageBreakBefore w:val="0"/>
        <w:numPr>
          <w:ilvl w:val="0"/>
          <w:numId w:val="0"/>
        </w:numPr>
        <w:kinsoku/>
        <w:wordWrap/>
        <w:overflowPunct/>
        <w:topLinePunct w:val="0"/>
        <w:autoSpaceDE/>
        <w:autoSpaceDN/>
        <w:bidi w:val="0"/>
        <w:adjustRightInd/>
        <w:snapToGrid/>
        <w:spacing w:line="560" w:lineRule="exact"/>
        <w:ind w:firstLine="594"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bCs/>
          <w:i w:val="0"/>
          <w:caps w:val="0"/>
          <w:color w:val="auto"/>
          <w:spacing w:val="8"/>
          <w:sz w:val="28"/>
          <w:szCs w:val="28"/>
          <w:lang w:val="en-US" w:eastAsia="zh-CN"/>
        </w:rPr>
        <w:t>财政：</w:t>
      </w:r>
      <w:r>
        <w:rPr>
          <w:rFonts w:hint="eastAsia" w:ascii="仿宋_GB2312" w:hAnsi="仿宋_GB2312" w:eastAsia="仿宋_GB2312" w:cs="仿宋_GB2312"/>
          <w:b w:val="0"/>
          <w:bCs w:val="0"/>
          <w:i w:val="0"/>
          <w:caps w:val="0"/>
          <w:color w:val="auto"/>
          <w:spacing w:val="8"/>
          <w:sz w:val="28"/>
          <w:szCs w:val="28"/>
          <w:lang w:val="en-US" w:eastAsia="zh-CN"/>
        </w:rPr>
        <w:t>今年赤字率拟按3.2%左右安排；</w:t>
      </w:r>
      <w:r>
        <w:rPr>
          <w:rFonts w:hint="eastAsia" w:ascii="仿宋_GB2312" w:hAnsi="仿宋_GB2312" w:eastAsia="仿宋_GB2312" w:cs="仿宋_GB2312"/>
          <w:b/>
          <w:bCs/>
          <w:i w:val="0"/>
          <w:caps w:val="0"/>
          <w:color w:val="auto"/>
          <w:spacing w:val="8"/>
          <w:sz w:val="28"/>
          <w:szCs w:val="28"/>
          <w:lang w:val="en-US" w:eastAsia="zh-CN"/>
        </w:rPr>
        <w:t>减税：</w:t>
      </w:r>
      <w:r>
        <w:rPr>
          <w:rFonts w:hint="eastAsia" w:ascii="仿宋_GB2312" w:hAnsi="仿宋_GB2312" w:eastAsia="仿宋_GB2312" w:cs="仿宋_GB2312"/>
          <w:b w:val="0"/>
          <w:bCs w:val="0"/>
          <w:i w:val="0"/>
          <w:caps w:val="0"/>
          <w:color w:val="auto"/>
          <w:spacing w:val="8"/>
          <w:sz w:val="28"/>
          <w:szCs w:val="28"/>
          <w:lang w:val="en-US" w:eastAsia="zh-CN"/>
        </w:rPr>
        <w:t>将小规模纳税人增值税起征点从月销售额10万元提高到15万元；</w:t>
      </w:r>
      <w:r>
        <w:rPr>
          <w:rFonts w:hint="eastAsia" w:ascii="仿宋_GB2312" w:hAnsi="仿宋_GB2312" w:eastAsia="仿宋_GB2312" w:cs="仿宋_GB2312"/>
          <w:b/>
          <w:bCs/>
          <w:i w:val="0"/>
          <w:caps w:val="0"/>
          <w:color w:val="auto"/>
          <w:spacing w:val="8"/>
          <w:sz w:val="28"/>
          <w:szCs w:val="28"/>
          <w:lang w:val="en-US" w:eastAsia="zh-CN"/>
        </w:rPr>
        <w:t>降费：</w:t>
      </w:r>
      <w:r>
        <w:rPr>
          <w:rFonts w:hint="eastAsia" w:ascii="仿宋_GB2312" w:hAnsi="仿宋_GB2312" w:eastAsia="仿宋_GB2312" w:cs="仿宋_GB2312"/>
          <w:b w:val="0"/>
          <w:bCs w:val="0"/>
          <w:i w:val="0"/>
          <w:caps w:val="0"/>
          <w:color w:val="auto"/>
          <w:spacing w:val="8"/>
          <w:sz w:val="28"/>
          <w:szCs w:val="28"/>
          <w:lang w:val="en-US" w:eastAsia="zh-CN"/>
        </w:rPr>
        <w:t>中小企业宽带和专线平均资费再降10%；</w:t>
      </w:r>
      <w:r>
        <w:rPr>
          <w:rFonts w:hint="eastAsia" w:ascii="仿宋_GB2312" w:hAnsi="仿宋_GB2312" w:eastAsia="仿宋_GB2312" w:cs="仿宋_GB2312"/>
          <w:b/>
          <w:bCs/>
          <w:i w:val="0"/>
          <w:caps w:val="0"/>
          <w:color w:val="auto"/>
          <w:spacing w:val="8"/>
          <w:sz w:val="28"/>
          <w:szCs w:val="28"/>
          <w:lang w:val="en-US" w:eastAsia="zh-CN"/>
        </w:rPr>
        <w:t>消费：</w:t>
      </w:r>
      <w:r>
        <w:rPr>
          <w:rFonts w:hint="eastAsia" w:ascii="仿宋_GB2312" w:hAnsi="仿宋_GB2312" w:eastAsia="仿宋_GB2312" w:cs="仿宋_GB2312"/>
          <w:b w:val="0"/>
          <w:bCs w:val="0"/>
          <w:i w:val="0"/>
          <w:caps w:val="0"/>
          <w:color w:val="auto"/>
          <w:spacing w:val="8"/>
          <w:sz w:val="28"/>
          <w:szCs w:val="28"/>
          <w:lang w:val="en-US" w:eastAsia="zh-CN"/>
        </w:rPr>
        <w:t>稳定增加汽车、家电等大宗消费；</w:t>
      </w:r>
      <w:r>
        <w:rPr>
          <w:rFonts w:hint="eastAsia" w:ascii="仿宋_GB2312" w:hAnsi="仿宋_GB2312" w:eastAsia="仿宋_GB2312" w:cs="仿宋_GB2312"/>
          <w:b/>
          <w:bCs/>
          <w:i w:val="0"/>
          <w:caps w:val="0"/>
          <w:color w:val="auto"/>
          <w:spacing w:val="8"/>
          <w:sz w:val="28"/>
          <w:szCs w:val="28"/>
          <w:lang w:val="en-US" w:eastAsia="zh-CN"/>
        </w:rPr>
        <w:t>创新：</w:t>
      </w:r>
      <w:r>
        <w:rPr>
          <w:rFonts w:hint="eastAsia" w:ascii="仿宋_GB2312" w:hAnsi="仿宋_GB2312" w:eastAsia="仿宋_GB2312" w:cs="仿宋_GB2312"/>
          <w:b w:val="0"/>
          <w:bCs w:val="0"/>
          <w:i w:val="0"/>
          <w:caps w:val="0"/>
          <w:color w:val="auto"/>
          <w:spacing w:val="8"/>
          <w:sz w:val="28"/>
          <w:szCs w:val="28"/>
          <w:lang w:val="en-US" w:eastAsia="zh-CN"/>
        </w:rPr>
        <w:t>以“十年磨一剑”精神在关键核心领域实现重大突破；</w:t>
      </w:r>
      <w:r>
        <w:rPr>
          <w:rFonts w:hint="eastAsia" w:ascii="仿宋_GB2312" w:hAnsi="仿宋_GB2312" w:eastAsia="仿宋_GB2312" w:cs="仿宋_GB2312"/>
          <w:b/>
          <w:bCs/>
          <w:i w:val="0"/>
          <w:caps w:val="0"/>
          <w:color w:val="auto"/>
          <w:spacing w:val="8"/>
          <w:sz w:val="28"/>
          <w:szCs w:val="28"/>
          <w:lang w:val="en-US" w:eastAsia="zh-CN"/>
        </w:rPr>
        <w:t>乡村振兴：</w:t>
      </w:r>
      <w:r>
        <w:rPr>
          <w:rFonts w:hint="eastAsia" w:ascii="仿宋_GB2312" w:hAnsi="仿宋_GB2312" w:eastAsia="仿宋_GB2312" w:cs="仿宋_GB2312"/>
          <w:b w:val="0"/>
          <w:bCs w:val="0"/>
          <w:i w:val="0"/>
          <w:caps w:val="0"/>
          <w:color w:val="auto"/>
          <w:spacing w:val="8"/>
          <w:sz w:val="28"/>
          <w:szCs w:val="28"/>
          <w:lang w:val="en-US" w:eastAsia="zh-CN"/>
        </w:rPr>
        <w:t>做好巩固拓展脱贫攻坚成果同乡村振兴有效衔接；</w:t>
      </w:r>
      <w:r>
        <w:rPr>
          <w:rFonts w:hint="eastAsia" w:ascii="仿宋_GB2312" w:hAnsi="仿宋_GB2312" w:eastAsia="仿宋_GB2312" w:cs="仿宋_GB2312"/>
          <w:b/>
          <w:bCs/>
          <w:i w:val="0"/>
          <w:caps w:val="0"/>
          <w:color w:val="auto"/>
          <w:spacing w:val="8"/>
          <w:sz w:val="28"/>
          <w:szCs w:val="28"/>
          <w:lang w:val="en-US" w:eastAsia="zh-CN"/>
        </w:rPr>
        <w:t>开放：</w:t>
      </w:r>
      <w:r>
        <w:rPr>
          <w:rFonts w:hint="eastAsia" w:ascii="仿宋_GB2312" w:hAnsi="仿宋_GB2312" w:eastAsia="仿宋_GB2312" w:cs="仿宋_GB2312"/>
          <w:b w:val="0"/>
          <w:bCs w:val="0"/>
          <w:i w:val="0"/>
          <w:caps w:val="0"/>
          <w:color w:val="auto"/>
          <w:spacing w:val="8"/>
          <w:sz w:val="28"/>
          <w:szCs w:val="28"/>
          <w:lang w:val="en-US" w:eastAsia="zh-CN"/>
        </w:rPr>
        <w:t>推动区域全面经济伙伴关系协定尽早生效实施、中欧投资协定签署；</w:t>
      </w:r>
      <w:r>
        <w:rPr>
          <w:rFonts w:hint="eastAsia" w:ascii="仿宋_GB2312" w:hAnsi="仿宋_GB2312" w:eastAsia="仿宋_GB2312" w:cs="仿宋_GB2312"/>
          <w:b/>
          <w:bCs/>
          <w:i w:val="0"/>
          <w:caps w:val="0"/>
          <w:color w:val="auto"/>
          <w:spacing w:val="8"/>
          <w:sz w:val="28"/>
          <w:szCs w:val="28"/>
          <w:lang w:val="en-US" w:eastAsia="zh-CN"/>
        </w:rPr>
        <w:t>环保：</w:t>
      </w:r>
      <w:r>
        <w:rPr>
          <w:rFonts w:hint="eastAsia" w:ascii="仿宋_GB2312" w:hAnsi="仿宋_GB2312" w:eastAsia="仿宋_GB2312" w:cs="仿宋_GB2312"/>
          <w:b w:val="0"/>
          <w:bCs w:val="0"/>
          <w:i w:val="0"/>
          <w:caps w:val="0"/>
          <w:color w:val="auto"/>
          <w:spacing w:val="8"/>
          <w:sz w:val="28"/>
          <w:szCs w:val="28"/>
          <w:lang w:val="en-US" w:eastAsia="zh-CN"/>
        </w:rPr>
        <w:t>北方地区清洁取暖率达到70%；</w:t>
      </w:r>
      <w:r>
        <w:rPr>
          <w:rFonts w:hint="eastAsia" w:ascii="仿宋_GB2312" w:hAnsi="仿宋_GB2312" w:eastAsia="仿宋_GB2312" w:cs="仿宋_GB2312"/>
          <w:b/>
          <w:bCs/>
          <w:i w:val="0"/>
          <w:caps w:val="0"/>
          <w:color w:val="auto"/>
          <w:spacing w:val="8"/>
          <w:sz w:val="28"/>
          <w:szCs w:val="28"/>
          <w:lang w:val="en-US" w:eastAsia="zh-CN"/>
        </w:rPr>
        <w:t>教育：</w:t>
      </w:r>
      <w:r>
        <w:rPr>
          <w:rFonts w:hint="eastAsia" w:ascii="仿宋_GB2312" w:hAnsi="仿宋_GB2312" w:eastAsia="仿宋_GB2312" w:cs="仿宋_GB2312"/>
          <w:b w:val="0"/>
          <w:bCs w:val="0"/>
          <w:i w:val="0"/>
          <w:caps w:val="0"/>
          <w:color w:val="auto"/>
          <w:spacing w:val="8"/>
          <w:sz w:val="28"/>
          <w:szCs w:val="28"/>
          <w:lang w:val="en-US" w:eastAsia="zh-CN"/>
        </w:rPr>
        <w:t>在教育公平上迈出更大步伐；</w:t>
      </w:r>
      <w:r>
        <w:rPr>
          <w:rFonts w:hint="eastAsia" w:ascii="仿宋_GB2312" w:hAnsi="仿宋_GB2312" w:eastAsia="仿宋_GB2312" w:cs="仿宋_GB2312"/>
          <w:b/>
          <w:bCs/>
          <w:i w:val="0"/>
          <w:caps w:val="0"/>
          <w:color w:val="auto"/>
          <w:spacing w:val="8"/>
          <w:sz w:val="28"/>
          <w:szCs w:val="28"/>
          <w:lang w:val="en-US" w:eastAsia="zh-CN"/>
        </w:rPr>
        <w:t>医保：</w:t>
      </w:r>
      <w:r>
        <w:rPr>
          <w:rFonts w:hint="eastAsia" w:ascii="仿宋_GB2312" w:hAnsi="仿宋_GB2312" w:eastAsia="仿宋_GB2312" w:cs="仿宋_GB2312"/>
          <w:b w:val="0"/>
          <w:bCs w:val="0"/>
          <w:i w:val="0"/>
          <w:caps w:val="0"/>
          <w:color w:val="auto"/>
          <w:spacing w:val="8"/>
          <w:sz w:val="28"/>
          <w:szCs w:val="28"/>
          <w:lang w:val="en-US" w:eastAsia="zh-CN"/>
        </w:rPr>
        <w:t>居民医保和基本公共卫生服务经费人均财政补助标准分别再增加30元和5元；</w:t>
      </w:r>
      <w:r>
        <w:rPr>
          <w:rFonts w:hint="eastAsia" w:ascii="仿宋_GB2312" w:hAnsi="仿宋_GB2312" w:eastAsia="仿宋_GB2312" w:cs="仿宋_GB2312"/>
          <w:b/>
          <w:bCs/>
          <w:i w:val="0"/>
          <w:caps w:val="0"/>
          <w:color w:val="auto"/>
          <w:spacing w:val="8"/>
          <w:sz w:val="28"/>
          <w:szCs w:val="28"/>
          <w:lang w:val="en-US" w:eastAsia="zh-CN"/>
        </w:rPr>
        <w:t>住房：</w:t>
      </w:r>
      <w:r>
        <w:rPr>
          <w:rFonts w:hint="eastAsia" w:ascii="仿宋_GB2312" w:hAnsi="仿宋_GB2312" w:eastAsia="仿宋_GB2312" w:cs="仿宋_GB2312"/>
          <w:b w:val="0"/>
          <w:bCs w:val="0"/>
          <w:i w:val="0"/>
          <w:caps w:val="0"/>
          <w:color w:val="auto"/>
          <w:spacing w:val="8"/>
          <w:sz w:val="28"/>
          <w:szCs w:val="28"/>
          <w:lang w:val="en-US" w:eastAsia="zh-CN"/>
        </w:rPr>
        <w:t>解决好大城市住房突出问题。规范发展长租房市场，降低租赁住房税费负担；</w:t>
      </w:r>
      <w:r>
        <w:rPr>
          <w:rFonts w:hint="eastAsia" w:ascii="仿宋_GB2312" w:hAnsi="仿宋_GB2312" w:eastAsia="仿宋_GB2312" w:cs="仿宋_GB2312"/>
          <w:b/>
          <w:bCs/>
          <w:i w:val="0"/>
          <w:caps w:val="0"/>
          <w:color w:val="auto"/>
          <w:spacing w:val="8"/>
          <w:sz w:val="28"/>
          <w:szCs w:val="28"/>
          <w:lang w:val="en-US" w:eastAsia="zh-CN"/>
        </w:rPr>
        <w:t>文体：</w:t>
      </w:r>
      <w:r>
        <w:rPr>
          <w:rFonts w:hint="eastAsia" w:ascii="仿宋_GB2312" w:hAnsi="仿宋_GB2312" w:eastAsia="仿宋_GB2312" w:cs="仿宋_GB2312"/>
          <w:b w:val="0"/>
          <w:bCs w:val="0"/>
          <w:i w:val="0"/>
          <w:caps w:val="0"/>
          <w:color w:val="auto"/>
          <w:spacing w:val="8"/>
          <w:sz w:val="28"/>
          <w:szCs w:val="28"/>
          <w:lang w:val="en-US" w:eastAsia="zh-CN"/>
        </w:rPr>
        <w:t>精心筹办北京冬奥会、冬残奥会；</w:t>
      </w:r>
      <w:r>
        <w:rPr>
          <w:rFonts w:hint="eastAsia" w:ascii="仿宋_GB2312" w:hAnsi="仿宋_GB2312" w:eastAsia="仿宋_GB2312" w:cs="仿宋_GB2312"/>
          <w:b/>
          <w:bCs/>
          <w:i w:val="0"/>
          <w:caps w:val="0"/>
          <w:color w:val="auto"/>
          <w:spacing w:val="8"/>
          <w:sz w:val="28"/>
          <w:szCs w:val="28"/>
          <w:lang w:val="en-US" w:eastAsia="zh-CN"/>
        </w:rPr>
        <w:t>港澳台：</w:t>
      </w:r>
      <w:r>
        <w:rPr>
          <w:rFonts w:hint="eastAsia" w:ascii="仿宋_GB2312" w:hAnsi="仿宋_GB2312" w:eastAsia="仿宋_GB2312" w:cs="仿宋_GB2312"/>
          <w:b w:val="0"/>
          <w:bCs w:val="0"/>
          <w:i w:val="0"/>
          <w:caps w:val="0"/>
          <w:color w:val="auto"/>
          <w:spacing w:val="8"/>
          <w:sz w:val="28"/>
          <w:szCs w:val="28"/>
          <w:lang w:val="en-US" w:eastAsia="zh-CN"/>
        </w:rPr>
        <w:t>完善特别行政区同宪法和基本法实施相关的制度和机制。</w:t>
      </w: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小结：关于文化和旅游方面工作，《报告》中提出要发展健康、文化、旅游、体育等服务消费，深化文化旅游融合发展，构建全域文旅新格局。运用好“互联网＋”，推进线上线下更广更深融合，发展新业态新模式，为消费者提供更多便捷舒心的服务和产品。在全面实施乡村振兴战略，促进农业稳定发展和农民增收方面，接续推进脱贫地区发展，抓好农业生产，改善农村生产生活条件，做好巩固拓展脱贫攻坚成果同乡村振兴有效衔接。</w:t>
      </w: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p>
    <w:p>
      <w:pPr>
        <w:pStyle w:val="2"/>
        <w:keepNext/>
        <w:keepLines/>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_GBK" w:hAnsi="方正小标宋_GBK" w:eastAsia="方正小标宋_GBK" w:cs="方正小标宋_GBK"/>
          <w:b w:val="0"/>
          <w:bCs/>
          <w:color w:val="auto"/>
          <w:sz w:val="28"/>
          <w:szCs w:val="28"/>
          <w:lang w:val="en-US" w:eastAsia="zh-CN"/>
        </w:rPr>
      </w:pPr>
      <w:bookmarkStart w:id="40" w:name="_Toc18239"/>
      <w:r>
        <w:rPr>
          <w:rFonts w:hint="eastAsia" w:ascii="方正小标宋_GBK" w:hAnsi="方正小标宋_GBK" w:eastAsia="方正小标宋_GBK" w:cs="方正小标宋_GBK"/>
          <w:b w:val="0"/>
          <w:bCs/>
          <w:color w:val="auto"/>
          <w:sz w:val="28"/>
          <w:szCs w:val="28"/>
          <w:lang w:val="en-US" w:eastAsia="zh-CN"/>
        </w:rPr>
        <w:t>第四章</w:t>
      </w:r>
      <w:bookmarkEnd w:id="40"/>
    </w:p>
    <w:p>
      <w:pPr>
        <w:pStyle w:val="2"/>
        <w:keepNext/>
        <w:keepLines/>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_GBK" w:hAnsi="方正小标宋_GBK" w:eastAsia="方正小标宋_GBK" w:cs="方正小标宋_GBK"/>
          <w:b w:val="0"/>
          <w:bCs/>
          <w:color w:val="auto"/>
          <w:sz w:val="28"/>
          <w:szCs w:val="28"/>
          <w:lang w:val="en-US" w:eastAsia="zh-CN"/>
        </w:rPr>
      </w:pPr>
      <w:bookmarkStart w:id="41" w:name="_Toc21351"/>
      <w:r>
        <w:rPr>
          <w:rFonts w:hint="eastAsia" w:ascii="方正小标宋_GBK" w:hAnsi="方正小标宋_GBK" w:eastAsia="方正小标宋_GBK" w:cs="方正小标宋_GBK"/>
          <w:b w:val="0"/>
          <w:bCs/>
          <w:color w:val="auto"/>
          <w:sz w:val="28"/>
          <w:szCs w:val="28"/>
          <w:lang w:val="en-US" w:eastAsia="zh-CN"/>
        </w:rPr>
        <w:t>国内旅界重点资讯</w:t>
      </w:r>
      <w:bookmarkEnd w:id="41"/>
    </w:p>
    <w:p>
      <w:pPr>
        <w:pStyle w:val="3"/>
        <w:keepNext/>
        <w:keepLines/>
        <w:pageBreakBefore w:val="0"/>
        <w:widowControl w:val="0"/>
        <w:numPr>
          <w:ilvl w:val="0"/>
          <w:numId w:val="0"/>
        </w:numPr>
        <w:kinsoku/>
        <w:wordWrap/>
        <w:overflowPunct/>
        <w:topLinePunct w:val="0"/>
        <w:autoSpaceDE/>
        <w:autoSpaceDN/>
        <w:bidi w:val="0"/>
        <w:adjustRightInd/>
        <w:snapToGrid/>
        <w:spacing w:after="240" w:afterAutospacing="0" w:line="400" w:lineRule="exact"/>
        <w:ind w:firstLine="560" w:firstLineChars="200"/>
        <w:textAlignment w:val="auto"/>
        <w:outlineLvl w:val="0"/>
        <w:rPr>
          <w:rFonts w:hint="eastAsia" w:ascii="黑体" w:hAnsi="黑体" w:cs="黑体"/>
          <w:b w:val="0"/>
          <w:bCs/>
          <w:color w:val="auto"/>
          <w:sz w:val="28"/>
          <w:szCs w:val="28"/>
          <w:lang w:val="en-US" w:eastAsia="zh-CN"/>
        </w:rPr>
      </w:pPr>
      <w:bookmarkStart w:id="42" w:name="_Toc5923"/>
      <w:r>
        <w:rPr>
          <w:rFonts w:hint="eastAsia" w:ascii="黑体" w:hAnsi="黑体" w:cs="黑体"/>
          <w:b w:val="0"/>
          <w:bCs/>
          <w:color w:val="auto"/>
          <w:sz w:val="28"/>
          <w:szCs w:val="28"/>
          <w:lang w:val="en-US" w:eastAsia="zh-CN"/>
        </w:rPr>
        <w:t>一、2020年全球旅游总人次同比降40%</w:t>
      </w:r>
      <w:bookmarkEnd w:id="42"/>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受新冠肺炎疫情影响，2020年全球旅游总人次（含国内旅游人次和国际旅游人次）降至72.78亿人次，同比下降40.8%；2020年全球旅游总收入下降至2.92万亿美元，相当于全球GDP的比例锐减至3.6%，为二战以来的最低水平。</w:t>
      </w:r>
      <w:bookmarkStart w:id="49" w:name="_GoBack"/>
      <w:bookmarkEnd w:id="49"/>
    </w:p>
    <w:p>
      <w:pPr>
        <w:pStyle w:val="3"/>
        <w:keepNext/>
        <w:keepLines/>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outlineLvl w:val="0"/>
        <w:rPr>
          <w:rFonts w:hint="eastAsia" w:ascii="黑体" w:hAnsi="黑体" w:eastAsia="黑体" w:cs="黑体"/>
          <w:b w:val="0"/>
          <w:bCs/>
          <w:color w:val="auto"/>
          <w:sz w:val="28"/>
          <w:szCs w:val="28"/>
          <w:lang w:val="en-US" w:eastAsia="zh-CN"/>
        </w:rPr>
      </w:pPr>
      <w:bookmarkStart w:id="43" w:name="_Toc18052"/>
      <w:r>
        <w:rPr>
          <w:rFonts w:hint="eastAsia" w:ascii="黑体" w:hAnsi="黑体" w:cs="黑体"/>
          <w:b w:val="0"/>
          <w:bCs/>
          <w:color w:val="auto"/>
          <w:sz w:val="28"/>
          <w:szCs w:val="28"/>
          <w:lang w:val="en-US" w:eastAsia="zh-CN"/>
        </w:rPr>
        <w:t>二、文旅部：民宿等级名称从星级改成为丙乙甲级</w:t>
      </w:r>
      <w:bookmarkEnd w:id="43"/>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t>文旅部近日发布旅游行业标准《旅游民宿基本要求与评价》（LB/T 065-2019）第1号修改单。修改单显示，原条款旅游民宿等级分为3个级别，由低到高分别为三星级、四星级和五星级。此次修改后，旅游民宿等级分为3个级别，由低到高分别为丙级、乙级和甲级。同时，原条款中星级旅游民宿标志由民居与五角星图案构成，修改后，等级旅游民宿标志由民居图案与相应文字构成。</w:t>
      </w:r>
    </w:p>
    <w:p>
      <w:pPr>
        <w:pStyle w:val="3"/>
        <w:keepNext/>
        <w:keepLines/>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outlineLvl w:val="0"/>
        <w:rPr>
          <w:rFonts w:hint="eastAsia" w:ascii="黑体" w:hAnsi="黑体" w:eastAsia="黑体" w:cs="黑体"/>
          <w:b w:val="0"/>
          <w:bCs/>
          <w:color w:val="auto"/>
          <w:sz w:val="28"/>
          <w:szCs w:val="28"/>
          <w:lang w:val="en-US" w:eastAsia="zh-CN"/>
        </w:rPr>
      </w:pPr>
      <w:bookmarkStart w:id="44" w:name="_Toc28429"/>
      <w:r>
        <w:rPr>
          <w:rFonts w:hint="eastAsia" w:ascii="黑体" w:hAnsi="黑体" w:cs="黑体"/>
          <w:b w:val="0"/>
          <w:bCs/>
          <w:color w:val="auto"/>
          <w:sz w:val="28"/>
          <w:szCs w:val="28"/>
          <w:lang w:val="en-US" w:eastAsia="zh-CN"/>
        </w:rPr>
        <w:t>三、农业农村部：2025年乡村休闲旅游年游客量超40亿</w:t>
      </w:r>
      <w:bookmarkEnd w:id="44"/>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3月1日，农业农村部召开全国推进乡村产业高质量发展视频会。会议提出，到2025年，乡村休闲旅游年接待游客人数超过40亿人次，经营收入超过1.2万亿元；返乡入乡创业创新人员超过1500万人。</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会议指出，要实施好《全国乡村产业发展规划(2020-2025年)》，拓展乡村功能价值，拓展产业增值增效空间。到2025年，农产品加工业营业收入达到32万亿元，主要农产品加工转化率达到80%；培育一批产值超百亿元、千亿元优势特色产业集群；乡村休闲旅游年接待游客人数超过40亿人次，经营收入超过1.2万亿元；返乡入乡创业创新人员超过1500万人。</w:t>
      </w:r>
    </w:p>
    <w:p>
      <w:pPr>
        <w:pStyle w:val="3"/>
        <w:keepNext/>
        <w:keepLines/>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outlineLvl w:val="0"/>
        <w:rPr>
          <w:rFonts w:hint="eastAsia" w:ascii="黑体" w:hAnsi="黑体" w:eastAsia="黑体" w:cs="黑体"/>
          <w:b w:val="0"/>
          <w:bCs/>
          <w:color w:val="auto"/>
          <w:sz w:val="28"/>
          <w:szCs w:val="28"/>
          <w:lang w:val="en-US" w:eastAsia="zh-CN"/>
        </w:rPr>
      </w:pPr>
      <w:bookmarkStart w:id="45" w:name="_Toc7713"/>
      <w:r>
        <w:rPr>
          <w:rFonts w:hint="eastAsia" w:ascii="黑体" w:hAnsi="黑体" w:cs="黑体"/>
          <w:b w:val="0"/>
          <w:bCs/>
          <w:color w:val="auto"/>
          <w:sz w:val="28"/>
          <w:szCs w:val="28"/>
          <w:lang w:val="en-US" w:eastAsia="zh-CN"/>
        </w:rPr>
        <w:t>四、文旅部将开展未经许可经营旅行社业务专项整治行动</w:t>
      </w:r>
      <w:bookmarkEnd w:id="45"/>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为促进旅游业高质量发展，规范旅游市场经营秩序，深入整治旅游市场“不合理低价游”等突出问题，文化和旅游部近日部署开展未经许可经营旅行社业务专项整治行动。重点整治两类违法违规经营行为：一是以免费旅游、购物（会员）送旅游、旅游赠礼品等名义或者以俱乐部、康养活动等形式招徕旅游者，未经许可经营旅行社业务的违法违规经营行为；二是未经许可，通过互联网开展招徕旅游者等旅行社业务的违法违规经营行为。</w:t>
      </w:r>
    </w:p>
    <w:p>
      <w:pPr>
        <w:pStyle w:val="3"/>
        <w:keepNext/>
        <w:keepLines/>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outlineLvl w:val="0"/>
        <w:rPr>
          <w:rFonts w:hint="eastAsia" w:ascii="黑体" w:hAnsi="黑体" w:eastAsia="黑体" w:cs="黑体"/>
          <w:b w:val="0"/>
          <w:bCs/>
          <w:color w:val="auto"/>
          <w:sz w:val="28"/>
          <w:szCs w:val="28"/>
          <w:lang w:val="en-US" w:eastAsia="zh-CN"/>
        </w:rPr>
      </w:pPr>
      <w:bookmarkStart w:id="46" w:name="_Toc28875"/>
      <w:r>
        <w:rPr>
          <w:rFonts w:hint="eastAsia" w:ascii="黑体" w:hAnsi="黑体" w:cs="黑体"/>
          <w:b w:val="0"/>
          <w:bCs/>
          <w:color w:val="auto"/>
          <w:sz w:val="28"/>
          <w:szCs w:val="28"/>
          <w:lang w:val="en-US" w:eastAsia="zh-CN"/>
        </w:rPr>
        <w:t>五、文旅部：低风险地区演出、娱乐场所接待人数取消统一限制</w:t>
      </w:r>
      <w:bookmarkEnd w:id="46"/>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文旅部近日发布《关于进一步加强剧院等演出场所、上网服务场所、娱乐场所常态化疫情防控工作的通知》，明确疫情低风险地区，对剧院等演出场所、上网服务场所、娱乐场所接待消费者人数比例不再做统一限制，由各省（区、市）党委、政府根据当地疫情防控形势自行掌握。</w:t>
      </w:r>
    </w:p>
    <w:p>
      <w:pPr>
        <w:pStyle w:val="3"/>
        <w:keepNext/>
        <w:keepLines/>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outlineLvl w:val="0"/>
        <w:rPr>
          <w:rFonts w:hint="eastAsia" w:ascii="黑体" w:hAnsi="黑体" w:eastAsia="黑体" w:cs="黑体"/>
          <w:b w:val="0"/>
          <w:bCs/>
          <w:color w:val="auto"/>
          <w:sz w:val="28"/>
          <w:szCs w:val="28"/>
          <w:lang w:val="en-US" w:eastAsia="zh-CN"/>
        </w:rPr>
      </w:pPr>
      <w:r>
        <w:rPr>
          <w:rFonts w:hint="eastAsia" w:ascii="黑体" w:hAnsi="黑体" w:cs="黑体"/>
          <w:b w:val="0"/>
          <w:bCs/>
          <w:color w:val="auto"/>
          <w:sz w:val="28"/>
          <w:szCs w:val="28"/>
          <w:lang w:val="en-US" w:eastAsia="zh-CN"/>
        </w:rPr>
        <w:t>六、文旅部：做好不合理低价游整治 增加优质旅游产品供给</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文化和旅游部近日对在线旅游企业开展行政指导，要求做好不合理低价游整治，共同维护旅游市场秩序；加强平台内经营者资质审核，着力配合打击未经许可经营旅行社业务等非法经营活动；增加优质旅游产品供给，切实提高旅游市场服务质量。</w:t>
      </w:r>
    </w:p>
    <w:p>
      <w:pPr>
        <w:pStyle w:val="3"/>
        <w:keepNext/>
        <w:keepLines/>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outlineLvl w:val="0"/>
        <w:rPr>
          <w:rFonts w:hint="eastAsia" w:ascii="黑体" w:hAnsi="黑体" w:eastAsia="黑体" w:cs="黑体"/>
          <w:b w:val="0"/>
          <w:bCs/>
          <w:color w:val="auto"/>
          <w:sz w:val="28"/>
          <w:szCs w:val="28"/>
          <w:lang w:val="en-US" w:eastAsia="zh-CN"/>
        </w:rPr>
      </w:pPr>
      <w:bookmarkStart w:id="47" w:name="_Toc2889"/>
      <w:r>
        <w:rPr>
          <w:rFonts w:hint="eastAsia" w:ascii="黑体" w:hAnsi="黑体" w:cs="黑体"/>
          <w:b w:val="0"/>
          <w:bCs/>
          <w:color w:val="auto"/>
          <w:sz w:val="28"/>
          <w:szCs w:val="28"/>
          <w:lang w:val="en-US" w:eastAsia="zh-CN"/>
        </w:rPr>
        <w:t>七、文旅部：鼓励革命老区大力发展“红色+乡村”等旅游新业态</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文化和旅游部资源开发司副司长单钢新表示，结合建党百年和党史学习教育活动，文旅部对进一步做好红色旅游工作进行了部署安排，包括提出发挥革命老区红色文化、田园乡村和生态资源优势，鼓励各地大力发展 “红色+绿色”“红色+乡村”“红色+研学”“红色+科技”等旅游新业态，推出红色旅游与生态旅游、民俗旅游、研学旅游、乡村旅游等深度融合、相得益彰的高质量产品和线路等。</w:t>
      </w:r>
    </w:p>
    <w:p>
      <w:pPr>
        <w:pStyle w:val="3"/>
        <w:keepNext/>
        <w:keepLines/>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outlineLvl w:val="0"/>
        <w:rPr>
          <w:rFonts w:hint="eastAsia" w:ascii="黑体" w:hAnsi="黑体" w:eastAsia="黑体" w:cs="黑体"/>
          <w:b w:val="0"/>
          <w:bCs/>
          <w:color w:val="auto"/>
          <w:sz w:val="28"/>
          <w:szCs w:val="28"/>
          <w:lang w:val="en-US" w:eastAsia="zh-CN"/>
        </w:rPr>
      </w:pPr>
      <w:r>
        <w:rPr>
          <w:rFonts w:hint="eastAsia" w:ascii="黑体" w:hAnsi="黑体" w:cs="黑体"/>
          <w:b w:val="0"/>
          <w:bCs/>
          <w:color w:val="auto"/>
          <w:sz w:val="28"/>
          <w:szCs w:val="28"/>
          <w:lang w:val="en-US" w:eastAsia="zh-CN"/>
        </w:rPr>
        <w:t>八、各省市文旅相关要点</w:t>
      </w:r>
      <w:bookmarkEnd w:id="47"/>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昆明“十四五”拟投2600亿，建设精品景区、康养度假、智慧旅游、商务会展、新业态等近200个旅游项目。</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咸阳将建三原恒大文旅康养城，总投资1000亿元，全力推动医疗、健康、养生、休闲、文化等生活性服务业发展，打造大西安文旅康养示范区。</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沈阳投资超过150亿元建设沈阳环球港项目，融合了“文化、旅游、娱乐、体育、展览、教育、购物、高端人居”等主力业态，建成东北亚最大的超大型城市综合体。</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重庆万州区将投资90亿元打造三峡恒合旅游度假区，该度假区包括龙凤溪谷景观廊、森林度假区、乡村休闲区、高山康养旅居小镇等。</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安徽省政府提出到2025年，实现全省旅游民宿从规模到质量的全面提升，力争超过10000家，推出一批精品旅游民宿，打造一批特色民宿集群。</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黑龙江省“十四五”时期，将构建特色旅游产品新体系，建设中国冰雪旅游产业中心，构建中国一号冰雪旅游路线、打造中国首个全谱系冰雪旅游目的地。</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上海推出“上海旅游”倍增发展计划，造一批富有文化底蕴的世界级旅游度假区和高品质旅游目的地，加快文旅业数字化转型，持续提升智慧化、人性化、国际化服务水平，加快建设世界著名旅游城市。</w:t>
      </w:r>
    </w:p>
    <w:p>
      <w:pPr>
        <w:pStyle w:val="3"/>
        <w:keepNext/>
        <w:keepLines/>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outlineLvl w:val="0"/>
        <w:rPr>
          <w:rFonts w:hint="eastAsia" w:ascii="黑体" w:hAnsi="黑体" w:eastAsia="黑体" w:cs="黑体"/>
          <w:b w:val="0"/>
          <w:bCs/>
          <w:color w:val="auto"/>
          <w:sz w:val="28"/>
          <w:szCs w:val="28"/>
          <w:lang w:val="en-US" w:eastAsia="zh-CN"/>
        </w:rPr>
      </w:pPr>
      <w:bookmarkStart w:id="48" w:name="_Toc11724"/>
      <w:r>
        <w:rPr>
          <w:rFonts w:hint="eastAsia" w:ascii="黑体" w:hAnsi="黑体" w:cs="黑体"/>
          <w:b w:val="0"/>
          <w:bCs/>
          <w:color w:val="auto"/>
          <w:sz w:val="28"/>
          <w:szCs w:val="28"/>
          <w:lang w:val="en-US" w:eastAsia="zh-CN"/>
        </w:rPr>
        <w:t>九、文旅企业新动向</w:t>
      </w:r>
      <w:bookmarkEnd w:id="48"/>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途牛2020年营收同比跌八成，净亏损13亿元；开元酒店2020年实现收入约人民币15.98亿元，同比减少约17.1%，毛利同比减少约40.8%至约3.35亿元；融创文旅2020年文旅经营收入达约人民币38.8亿元，同比增长36%；华侨城（亚洲）拟抛售所持同程艺龙全部股份；恒大签约荆州健康城项目，预计总投资约100亿元。</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0000FF"/>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仿宋_GB2312" w:hAnsi="仿宋_GB2312" w:eastAsia="仿宋_GB2312" w:cs="仿宋_GB2312"/>
          <w:b w:val="0"/>
          <w:bCs w:val="0"/>
          <w:i w:val="0"/>
          <w:caps w:val="0"/>
          <w:color w:val="auto"/>
          <w:spacing w:val="8"/>
          <w:sz w:val="28"/>
          <w:szCs w:val="28"/>
          <w:lang w:val="en-US" w:eastAsia="zh-CN"/>
        </w:rPr>
      </w:pPr>
      <w:r>
        <w:rPr>
          <w:rFonts w:hint="eastAsia" w:ascii="仿宋_GB2312" w:hAnsi="仿宋_GB2312" w:eastAsia="仿宋_GB2312" w:cs="仿宋_GB2312"/>
          <w:b w:val="0"/>
          <w:bCs w:val="0"/>
          <w:i w:val="0"/>
          <w:caps w:val="0"/>
          <w:color w:val="auto"/>
          <w:spacing w:val="8"/>
          <w:sz w:val="28"/>
          <w:szCs w:val="28"/>
          <w:lang w:val="en-US" w:eastAsia="zh-CN"/>
        </w:rPr>
        <w:t>小结：各省市、文旅企业都将发展重点投向建设各类文旅项目中，这既是机遇也是挑战，在发展文旅融合，构建全域文旅新格局的大背景下，需要不断进行产品迭代以及模式创新，在众多项目中避免同质化，同时充分利用用户私域流量进行宣传，应用新的推广模式，发掘更多的忠诚的客户。</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i w:val="0"/>
          <w:caps w:val="0"/>
          <w:color w:val="auto"/>
          <w:spacing w:val="8"/>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i w:val="0"/>
          <w:caps w:val="0"/>
          <w:color w:val="auto"/>
          <w:spacing w:val="8"/>
          <w:sz w:val="28"/>
          <w:szCs w:val="28"/>
          <w:lang w:val="en-US" w:eastAsia="zh-CN"/>
        </w:rPr>
      </w:pPr>
      <w:r>
        <w:rPr>
          <w:rFonts w:hint="eastAsia" w:ascii="仿宋_GB2312" w:hAnsi="仿宋_GB2312" w:eastAsia="仿宋_GB2312" w:cs="仿宋_GB2312"/>
          <w:i w:val="0"/>
          <w:caps w:val="0"/>
          <w:color w:val="auto"/>
          <w:spacing w:val="8"/>
          <w:sz w:val="28"/>
          <w:szCs w:val="28"/>
          <w:lang w:val="en-US" w:eastAsia="zh-CN"/>
        </w:rPr>
        <w:drawing>
          <wp:anchor distT="0" distB="0" distL="114300" distR="114300" simplePos="0" relativeHeight="251665408" behindDoc="1" locked="0" layoutInCell="1" allowOverlap="1">
            <wp:simplePos x="0" y="0"/>
            <wp:positionH relativeFrom="column">
              <wp:posOffset>-1071245</wp:posOffset>
            </wp:positionH>
            <wp:positionV relativeFrom="paragraph">
              <wp:posOffset>-842645</wp:posOffset>
            </wp:positionV>
            <wp:extent cx="7419975" cy="10668000"/>
            <wp:effectExtent l="0" t="0" r="0" b="0"/>
            <wp:wrapTight wrapText="bothSides">
              <wp:wrapPolygon>
                <wp:start x="0" y="0"/>
                <wp:lineTo x="0" y="21561"/>
                <wp:lineTo x="21572" y="21561"/>
                <wp:lineTo x="21572" y="0"/>
                <wp:lineTo x="0" y="0"/>
              </wp:wrapPolygon>
            </wp:wrapTight>
            <wp:docPr id="5" name="图片 5" descr="第三期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第三期底"/>
                    <pic:cNvPicPr>
                      <a:picLocks noChangeAspect="1"/>
                    </pic:cNvPicPr>
                  </pic:nvPicPr>
                  <pic:blipFill>
                    <a:blip r:embed="rId12"/>
                    <a:stretch>
                      <a:fillRect/>
                    </a:stretch>
                  </pic:blipFill>
                  <pic:spPr>
                    <a:xfrm>
                      <a:off x="0" y="0"/>
                      <a:ext cx="7419975" cy="10668000"/>
                    </a:xfrm>
                    <a:prstGeom prst="rect">
                      <a:avLst/>
                    </a:prstGeom>
                  </pic:spPr>
                </pic:pic>
              </a:graphicData>
            </a:graphic>
          </wp:anchor>
        </w:drawing>
      </w: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1</w:t>
                          </w:r>
                          <w:r>
                            <w:rPr>
                              <w:rFonts w:hint="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1</w:t>
                    </w:r>
                    <w:r>
                      <w:rPr>
                        <w:rFonts w:hint="eastAsia"/>
                        <w:sz w:val="24"/>
                        <w:szCs w:val="24"/>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3E2532"/>
    <w:multiLevelType w:val="singleLevel"/>
    <w:tmpl w:val="A63E253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B7A52"/>
    <w:rsid w:val="002D2AAD"/>
    <w:rsid w:val="002F462D"/>
    <w:rsid w:val="00387E5D"/>
    <w:rsid w:val="004779C8"/>
    <w:rsid w:val="004D66C5"/>
    <w:rsid w:val="006004C7"/>
    <w:rsid w:val="006C4D4C"/>
    <w:rsid w:val="007F70EA"/>
    <w:rsid w:val="0082765C"/>
    <w:rsid w:val="009065DE"/>
    <w:rsid w:val="009E15C1"/>
    <w:rsid w:val="00A3787D"/>
    <w:rsid w:val="00B730F0"/>
    <w:rsid w:val="00D624FF"/>
    <w:rsid w:val="00D7585C"/>
    <w:rsid w:val="00E85443"/>
    <w:rsid w:val="00F9579B"/>
    <w:rsid w:val="01030715"/>
    <w:rsid w:val="0125509B"/>
    <w:rsid w:val="012F3D44"/>
    <w:rsid w:val="0134670A"/>
    <w:rsid w:val="018B5647"/>
    <w:rsid w:val="019968E4"/>
    <w:rsid w:val="019E0F5B"/>
    <w:rsid w:val="01D044BC"/>
    <w:rsid w:val="01D8543F"/>
    <w:rsid w:val="01FE0C12"/>
    <w:rsid w:val="020B5E28"/>
    <w:rsid w:val="0221307E"/>
    <w:rsid w:val="02362843"/>
    <w:rsid w:val="023E66A5"/>
    <w:rsid w:val="0251680C"/>
    <w:rsid w:val="025425A2"/>
    <w:rsid w:val="02590945"/>
    <w:rsid w:val="02641AC1"/>
    <w:rsid w:val="02661CB0"/>
    <w:rsid w:val="026C499E"/>
    <w:rsid w:val="02D76042"/>
    <w:rsid w:val="02DE6055"/>
    <w:rsid w:val="02E20303"/>
    <w:rsid w:val="02E76F6C"/>
    <w:rsid w:val="02EA21FE"/>
    <w:rsid w:val="02F4332D"/>
    <w:rsid w:val="0329784C"/>
    <w:rsid w:val="03387AA3"/>
    <w:rsid w:val="0356264B"/>
    <w:rsid w:val="03646990"/>
    <w:rsid w:val="03676470"/>
    <w:rsid w:val="03B03451"/>
    <w:rsid w:val="03BC7D96"/>
    <w:rsid w:val="03BE4D30"/>
    <w:rsid w:val="03DD6DB3"/>
    <w:rsid w:val="03DF3BE7"/>
    <w:rsid w:val="03E13739"/>
    <w:rsid w:val="03E708A7"/>
    <w:rsid w:val="03EF4BD7"/>
    <w:rsid w:val="0415216C"/>
    <w:rsid w:val="042410BB"/>
    <w:rsid w:val="04474292"/>
    <w:rsid w:val="04540B1A"/>
    <w:rsid w:val="04547FCF"/>
    <w:rsid w:val="04642E37"/>
    <w:rsid w:val="048D3139"/>
    <w:rsid w:val="04943882"/>
    <w:rsid w:val="04AB1FC8"/>
    <w:rsid w:val="04CE1B6D"/>
    <w:rsid w:val="04D359F2"/>
    <w:rsid w:val="04D50818"/>
    <w:rsid w:val="04DB7189"/>
    <w:rsid w:val="04E74A12"/>
    <w:rsid w:val="04EB46BD"/>
    <w:rsid w:val="05105CB4"/>
    <w:rsid w:val="054133CB"/>
    <w:rsid w:val="058E45AA"/>
    <w:rsid w:val="059D6FF9"/>
    <w:rsid w:val="05B7644B"/>
    <w:rsid w:val="05D1564A"/>
    <w:rsid w:val="05D6497A"/>
    <w:rsid w:val="05FF22F7"/>
    <w:rsid w:val="060852E9"/>
    <w:rsid w:val="06155E7F"/>
    <w:rsid w:val="06285B01"/>
    <w:rsid w:val="065D44A4"/>
    <w:rsid w:val="06750C36"/>
    <w:rsid w:val="067E66F3"/>
    <w:rsid w:val="06A86497"/>
    <w:rsid w:val="06C61817"/>
    <w:rsid w:val="07241791"/>
    <w:rsid w:val="07777C66"/>
    <w:rsid w:val="07A865AB"/>
    <w:rsid w:val="07CB5654"/>
    <w:rsid w:val="07D10053"/>
    <w:rsid w:val="08053BFC"/>
    <w:rsid w:val="080876E9"/>
    <w:rsid w:val="082324D5"/>
    <w:rsid w:val="08527CC9"/>
    <w:rsid w:val="08592030"/>
    <w:rsid w:val="086342C2"/>
    <w:rsid w:val="08637B7C"/>
    <w:rsid w:val="08984686"/>
    <w:rsid w:val="089E182F"/>
    <w:rsid w:val="08D07401"/>
    <w:rsid w:val="08D513B6"/>
    <w:rsid w:val="08D65821"/>
    <w:rsid w:val="08EB5933"/>
    <w:rsid w:val="08F14BA6"/>
    <w:rsid w:val="09182A73"/>
    <w:rsid w:val="091C4AD8"/>
    <w:rsid w:val="09240257"/>
    <w:rsid w:val="094F0106"/>
    <w:rsid w:val="095B3F2A"/>
    <w:rsid w:val="09A112E8"/>
    <w:rsid w:val="09A90840"/>
    <w:rsid w:val="09AE6D77"/>
    <w:rsid w:val="09E862B0"/>
    <w:rsid w:val="09F73E88"/>
    <w:rsid w:val="0A0001BC"/>
    <w:rsid w:val="0A0E7218"/>
    <w:rsid w:val="0A155F21"/>
    <w:rsid w:val="0A2B7E78"/>
    <w:rsid w:val="0A384BC3"/>
    <w:rsid w:val="0A426F10"/>
    <w:rsid w:val="0A4525CB"/>
    <w:rsid w:val="0A541A1F"/>
    <w:rsid w:val="0A7D3011"/>
    <w:rsid w:val="0A833592"/>
    <w:rsid w:val="0A8D5629"/>
    <w:rsid w:val="0A94504F"/>
    <w:rsid w:val="0AA72D19"/>
    <w:rsid w:val="0AB43B0B"/>
    <w:rsid w:val="0AB57014"/>
    <w:rsid w:val="0ACC45A6"/>
    <w:rsid w:val="0AD54CC1"/>
    <w:rsid w:val="0AE77ACD"/>
    <w:rsid w:val="0AF30419"/>
    <w:rsid w:val="0AF60EBF"/>
    <w:rsid w:val="0AFD3EBC"/>
    <w:rsid w:val="0B2D7E74"/>
    <w:rsid w:val="0B3A6DB2"/>
    <w:rsid w:val="0B507607"/>
    <w:rsid w:val="0B5814A0"/>
    <w:rsid w:val="0BAC4185"/>
    <w:rsid w:val="0BD426CA"/>
    <w:rsid w:val="0BE351CB"/>
    <w:rsid w:val="0BEF2C24"/>
    <w:rsid w:val="0C046129"/>
    <w:rsid w:val="0C587910"/>
    <w:rsid w:val="0C6F6942"/>
    <w:rsid w:val="0C8F31C4"/>
    <w:rsid w:val="0CBD234C"/>
    <w:rsid w:val="0CCB133A"/>
    <w:rsid w:val="0CE6569E"/>
    <w:rsid w:val="0CE96DB5"/>
    <w:rsid w:val="0CEB47EA"/>
    <w:rsid w:val="0CEF280C"/>
    <w:rsid w:val="0CF53806"/>
    <w:rsid w:val="0D03194D"/>
    <w:rsid w:val="0D30181E"/>
    <w:rsid w:val="0D3E1120"/>
    <w:rsid w:val="0D41388F"/>
    <w:rsid w:val="0D4762C4"/>
    <w:rsid w:val="0D613D5A"/>
    <w:rsid w:val="0D7468A1"/>
    <w:rsid w:val="0D8E1625"/>
    <w:rsid w:val="0D967FF3"/>
    <w:rsid w:val="0D9D135A"/>
    <w:rsid w:val="0DA95A80"/>
    <w:rsid w:val="0DAD4FE1"/>
    <w:rsid w:val="0DBA321F"/>
    <w:rsid w:val="0DBF78F4"/>
    <w:rsid w:val="0DC17C0C"/>
    <w:rsid w:val="0DD6068E"/>
    <w:rsid w:val="0DDA33FA"/>
    <w:rsid w:val="0DDA45E8"/>
    <w:rsid w:val="0DFD7C7D"/>
    <w:rsid w:val="0DFF7369"/>
    <w:rsid w:val="0E010529"/>
    <w:rsid w:val="0E0E1A0F"/>
    <w:rsid w:val="0E136598"/>
    <w:rsid w:val="0E3875A8"/>
    <w:rsid w:val="0E4F495B"/>
    <w:rsid w:val="0E515923"/>
    <w:rsid w:val="0E7930FC"/>
    <w:rsid w:val="0E7B3CA4"/>
    <w:rsid w:val="0EAA088B"/>
    <w:rsid w:val="0EAB2806"/>
    <w:rsid w:val="0EB57E6D"/>
    <w:rsid w:val="0EB77F26"/>
    <w:rsid w:val="0EBB33A0"/>
    <w:rsid w:val="0EC26D3A"/>
    <w:rsid w:val="0EC361D9"/>
    <w:rsid w:val="0EE85D44"/>
    <w:rsid w:val="0EF02B5C"/>
    <w:rsid w:val="0F04103D"/>
    <w:rsid w:val="0F62336D"/>
    <w:rsid w:val="0F635E3B"/>
    <w:rsid w:val="0F6D0785"/>
    <w:rsid w:val="0F6F106A"/>
    <w:rsid w:val="0F9A7DB6"/>
    <w:rsid w:val="0FB04217"/>
    <w:rsid w:val="0FE16BAF"/>
    <w:rsid w:val="0FF97A31"/>
    <w:rsid w:val="10323746"/>
    <w:rsid w:val="104C5F5B"/>
    <w:rsid w:val="10637BCA"/>
    <w:rsid w:val="10966926"/>
    <w:rsid w:val="10DF7A41"/>
    <w:rsid w:val="10FC11E6"/>
    <w:rsid w:val="11027A06"/>
    <w:rsid w:val="110E7219"/>
    <w:rsid w:val="11435C93"/>
    <w:rsid w:val="11547CC6"/>
    <w:rsid w:val="11651798"/>
    <w:rsid w:val="11724439"/>
    <w:rsid w:val="117D4ED4"/>
    <w:rsid w:val="118E0E2F"/>
    <w:rsid w:val="11A320B4"/>
    <w:rsid w:val="11A90F34"/>
    <w:rsid w:val="11E3256D"/>
    <w:rsid w:val="11F33238"/>
    <w:rsid w:val="1222517F"/>
    <w:rsid w:val="123B6B2A"/>
    <w:rsid w:val="127563B2"/>
    <w:rsid w:val="127D09B0"/>
    <w:rsid w:val="12926A74"/>
    <w:rsid w:val="12AD66B3"/>
    <w:rsid w:val="12C71D72"/>
    <w:rsid w:val="12ED1A0F"/>
    <w:rsid w:val="12F00991"/>
    <w:rsid w:val="131B4D14"/>
    <w:rsid w:val="131D1352"/>
    <w:rsid w:val="13573DA8"/>
    <w:rsid w:val="13653744"/>
    <w:rsid w:val="13673368"/>
    <w:rsid w:val="13687001"/>
    <w:rsid w:val="139203CE"/>
    <w:rsid w:val="139B717D"/>
    <w:rsid w:val="13A875F7"/>
    <w:rsid w:val="13BD5BCC"/>
    <w:rsid w:val="13E467DD"/>
    <w:rsid w:val="14167799"/>
    <w:rsid w:val="14531474"/>
    <w:rsid w:val="1465269B"/>
    <w:rsid w:val="149623F8"/>
    <w:rsid w:val="14D8570E"/>
    <w:rsid w:val="14E65FEF"/>
    <w:rsid w:val="15343CDE"/>
    <w:rsid w:val="153722D8"/>
    <w:rsid w:val="15596767"/>
    <w:rsid w:val="15623CDE"/>
    <w:rsid w:val="15657F73"/>
    <w:rsid w:val="156C48E6"/>
    <w:rsid w:val="158F23F3"/>
    <w:rsid w:val="1595261F"/>
    <w:rsid w:val="15C06679"/>
    <w:rsid w:val="15C35D46"/>
    <w:rsid w:val="15D5171C"/>
    <w:rsid w:val="15EC1A0D"/>
    <w:rsid w:val="15F24B2D"/>
    <w:rsid w:val="161712F3"/>
    <w:rsid w:val="162B19E3"/>
    <w:rsid w:val="168857BC"/>
    <w:rsid w:val="169869F0"/>
    <w:rsid w:val="16D76CBA"/>
    <w:rsid w:val="16E25622"/>
    <w:rsid w:val="17014C2F"/>
    <w:rsid w:val="17170140"/>
    <w:rsid w:val="17264BEE"/>
    <w:rsid w:val="17476F50"/>
    <w:rsid w:val="174B15AC"/>
    <w:rsid w:val="17635152"/>
    <w:rsid w:val="176A0BD2"/>
    <w:rsid w:val="178359DB"/>
    <w:rsid w:val="17920032"/>
    <w:rsid w:val="17D05111"/>
    <w:rsid w:val="17D449C2"/>
    <w:rsid w:val="17E94127"/>
    <w:rsid w:val="17F66FD3"/>
    <w:rsid w:val="18275BA5"/>
    <w:rsid w:val="182D734C"/>
    <w:rsid w:val="18350439"/>
    <w:rsid w:val="1837566B"/>
    <w:rsid w:val="184764CF"/>
    <w:rsid w:val="18804D42"/>
    <w:rsid w:val="188735B9"/>
    <w:rsid w:val="18FD40C7"/>
    <w:rsid w:val="190159F0"/>
    <w:rsid w:val="191D39A6"/>
    <w:rsid w:val="19227A32"/>
    <w:rsid w:val="19346032"/>
    <w:rsid w:val="194D1255"/>
    <w:rsid w:val="1953655E"/>
    <w:rsid w:val="19663CF0"/>
    <w:rsid w:val="199527EB"/>
    <w:rsid w:val="199B07F3"/>
    <w:rsid w:val="199C210B"/>
    <w:rsid w:val="19AE0F3B"/>
    <w:rsid w:val="19AF3D7B"/>
    <w:rsid w:val="19B7126C"/>
    <w:rsid w:val="19D61FDB"/>
    <w:rsid w:val="1A0055FC"/>
    <w:rsid w:val="1A10097A"/>
    <w:rsid w:val="1A137F3B"/>
    <w:rsid w:val="1A532D8E"/>
    <w:rsid w:val="1A5F483D"/>
    <w:rsid w:val="1A66018B"/>
    <w:rsid w:val="1A6A52EA"/>
    <w:rsid w:val="1A7B2625"/>
    <w:rsid w:val="1AA23193"/>
    <w:rsid w:val="1AA262FD"/>
    <w:rsid w:val="1AA86AC8"/>
    <w:rsid w:val="1ACB56B9"/>
    <w:rsid w:val="1AD41CED"/>
    <w:rsid w:val="1AF262EE"/>
    <w:rsid w:val="1AF4701E"/>
    <w:rsid w:val="1B202890"/>
    <w:rsid w:val="1B306F4A"/>
    <w:rsid w:val="1B355A25"/>
    <w:rsid w:val="1B4B6075"/>
    <w:rsid w:val="1B4C2A9A"/>
    <w:rsid w:val="1B527DA7"/>
    <w:rsid w:val="1B680218"/>
    <w:rsid w:val="1B6F4D1D"/>
    <w:rsid w:val="1B806770"/>
    <w:rsid w:val="1B811DB0"/>
    <w:rsid w:val="1B82242D"/>
    <w:rsid w:val="1B8520CC"/>
    <w:rsid w:val="1B8D5F39"/>
    <w:rsid w:val="1B8E74C3"/>
    <w:rsid w:val="1B9838BE"/>
    <w:rsid w:val="1BA6680C"/>
    <w:rsid w:val="1BB110A0"/>
    <w:rsid w:val="1BBA2865"/>
    <w:rsid w:val="1BC066D7"/>
    <w:rsid w:val="1BCE5D92"/>
    <w:rsid w:val="1BE94ED6"/>
    <w:rsid w:val="1C3D55C5"/>
    <w:rsid w:val="1C3F07FA"/>
    <w:rsid w:val="1C594E7C"/>
    <w:rsid w:val="1C6B27FD"/>
    <w:rsid w:val="1C7609E9"/>
    <w:rsid w:val="1C7875FD"/>
    <w:rsid w:val="1C862280"/>
    <w:rsid w:val="1CF6124C"/>
    <w:rsid w:val="1D543DA4"/>
    <w:rsid w:val="1D830108"/>
    <w:rsid w:val="1D8863CD"/>
    <w:rsid w:val="1D9A62EE"/>
    <w:rsid w:val="1DA03E04"/>
    <w:rsid w:val="1DAB7B37"/>
    <w:rsid w:val="1DD20AE4"/>
    <w:rsid w:val="1DD30028"/>
    <w:rsid w:val="1DD46D85"/>
    <w:rsid w:val="1DD80087"/>
    <w:rsid w:val="1DDE0439"/>
    <w:rsid w:val="1DDF084A"/>
    <w:rsid w:val="1DF009B8"/>
    <w:rsid w:val="1DF1684D"/>
    <w:rsid w:val="1DFE47DE"/>
    <w:rsid w:val="1E172EB3"/>
    <w:rsid w:val="1E30729C"/>
    <w:rsid w:val="1E337D83"/>
    <w:rsid w:val="1E6E10D2"/>
    <w:rsid w:val="1E74580F"/>
    <w:rsid w:val="1E847ED7"/>
    <w:rsid w:val="1E8B5C98"/>
    <w:rsid w:val="1E8E54E1"/>
    <w:rsid w:val="1E92619F"/>
    <w:rsid w:val="1E98263D"/>
    <w:rsid w:val="1E9C3025"/>
    <w:rsid w:val="1E9F5D0F"/>
    <w:rsid w:val="1EB12E4D"/>
    <w:rsid w:val="1EC5388C"/>
    <w:rsid w:val="1F0845E1"/>
    <w:rsid w:val="1F2F2E03"/>
    <w:rsid w:val="1F344FC2"/>
    <w:rsid w:val="1F845F93"/>
    <w:rsid w:val="1F921170"/>
    <w:rsid w:val="1FB37DB4"/>
    <w:rsid w:val="1FE63A28"/>
    <w:rsid w:val="2022289F"/>
    <w:rsid w:val="20297823"/>
    <w:rsid w:val="203B7E29"/>
    <w:rsid w:val="203C0733"/>
    <w:rsid w:val="204625D8"/>
    <w:rsid w:val="205F083D"/>
    <w:rsid w:val="20756E2F"/>
    <w:rsid w:val="207D5A6A"/>
    <w:rsid w:val="20B8713E"/>
    <w:rsid w:val="20C4270D"/>
    <w:rsid w:val="20C97409"/>
    <w:rsid w:val="20E50C48"/>
    <w:rsid w:val="20EA3A0B"/>
    <w:rsid w:val="20ED0210"/>
    <w:rsid w:val="211E52F0"/>
    <w:rsid w:val="21350490"/>
    <w:rsid w:val="214502F7"/>
    <w:rsid w:val="21465A88"/>
    <w:rsid w:val="216376EF"/>
    <w:rsid w:val="2182785C"/>
    <w:rsid w:val="218A34BE"/>
    <w:rsid w:val="21C66A4E"/>
    <w:rsid w:val="21D630A4"/>
    <w:rsid w:val="21D73110"/>
    <w:rsid w:val="21EB2749"/>
    <w:rsid w:val="21FA6B1C"/>
    <w:rsid w:val="22023FF8"/>
    <w:rsid w:val="22156ECB"/>
    <w:rsid w:val="22214658"/>
    <w:rsid w:val="223631CC"/>
    <w:rsid w:val="22697E2A"/>
    <w:rsid w:val="226C03E7"/>
    <w:rsid w:val="22793A8D"/>
    <w:rsid w:val="227C5924"/>
    <w:rsid w:val="22823B7D"/>
    <w:rsid w:val="22861011"/>
    <w:rsid w:val="22C411A1"/>
    <w:rsid w:val="22F01293"/>
    <w:rsid w:val="22F048B3"/>
    <w:rsid w:val="23034676"/>
    <w:rsid w:val="23191A6D"/>
    <w:rsid w:val="235068C1"/>
    <w:rsid w:val="23570087"/>
    <w:rsid w:val="23576150"/>
    <w:rsid w:val="23805EF8"/>
    <w:rsid w:val="238F7462"/>
    <w:rsid w:val="23A476BC"/>
    <w:rsid w:val="23C85486"/>
    <w:rsid w:val="240A2280"/>
    <w:rsid w:val="242B5637"/>
    <w:rsid w:val="242F1197"/>
    <w:rsid w:val="24317AE9"/>
    <w:rsid w:val="244071D0"/>
    <w:rsid w:val="24492A6F"/>
    <w:rsid w:val="247D19FF"/>
    <w:rsid w:val="24965694"/>
    <w:rsid w:val="24B424A8"/>
    <w:rsid w:val="24C14D6B"/>
    <w:rsid w:val="250D0BA6"/>
    <w:rsid w:val="25120708"/>
    <w:rsid w:val="251B404B"/>
    <w:rsid w:val="25384329"/>
    <w:rsid w:val="254B2D6F"/>
    <w:rsid w:val="25667953"/>
    <w:rsid w:val="2567054D"/>
    <w:rsid w:val="25825941"/>
    <w:rsid w:val="258F3078"/>
    <w:rsid w:val="25A44765"/>
    <w:rsid w:val="25A63005"/>
    <w:rsid w:val="25B30C54"/>
    <w:rsid w:val="25D5087B"/>
    <w:rsid w:val="25DE6558"/>
    <w:rsid w:val="25F549FF"/>
    <w:rsid w:val="26155505"/>
    <w:rsid w:val="26403284"/>
    <w:rsid w:val="26736081"/>
    <w:rsid w:val="26752D5A"/>
    <w:rsid w:val="2676086B"/>
    <w:rsid w:val="26780A5D"/>
    <w:rsid w:val="269E5102"/>
    <w:rsid w:val="26A01407"/>
    <w:rsid w:val="26A304DF"/>
    <w:rsid w:val="26A60D8D"/>
    <w:rsid w:val="26B11344"/>
    <w:rsid w:val="26BA76AA"/>
    <w:rsid w:val="26C37383"/>
    <w:rsid w:val="26CB164E"/>
    <w:rsid w:val="26D41C7E"/>
    <w:rsid w:val="271F7C42"/>
    <w:rsid w:val="27380A23"/>
    <w:rsid w:val="274C7436"/>
    <w:rsid w:val="27683ADD"/>
    <w:rsid w:val="27713B52"/>
    <w:rsid w:val="27756105"/>
    <w:rsid w:val="277846DB"/>
    <w:rsid w:val="277A2C8D"/>
    <w:rsid w:val="278C60EB"/>
    <w:rsid w:val="279F732A"/>
    <w:rsid w:val="27AA34B4"/>
    <w:rsid w:val="27AB0511"/>
    <w:rsid w:val="27AC6722"/>
    <w:rsid w:val="27AF0A37"/>
    <w:rsid w:val="27B1597B"/>
    <w:rsid w:val="27BD024F"/>
    <w:rsid w:val="27C46ED6"/>
    <w:rsid w:val="27CD1DB2"/>
    <w:rsid w:val="27D81F06"/>
    <w:rsid w:val="280F3FA5"/>
    <w:rsid w:val="28145DC9"/>
    <w:rsid w:val="28376452"/>
    <w:rsid w:val="28486E4B"/>
    <w:rsid w:val="284C384B"/>
    <w:rsid w:val="286B0104"/>
    <w:rsid w:val="28764C0C"/>
    <w:rsid w:val="28964BA9"/>
    <w:rsid w:val="289C739F"/>
    <w:rsid w:val="28BF0B6A"/>
    <w:rsid w:val="28C74278"/>
    <w:rsid w:val="28D13594"/>
    <w:rsid w:val="28DA16B0"/>
    <w:rsid w:val="28E00D28"/>
    <w:rsid w:val="28E857D9"/>
    <w:rsid w:val="29183F4A"/>
    <w:rsid w:val="291D309D"/>
    <w:rsid w:val="29431E7C"/>
    <w:rsid w:val="29656550"/>
    <w:rsid w:val="296A1AA1"/>
    <w:rsid w:val="29710F8D"/>
    <w:rsid w:val="298E47AA"/>
    <w:rsid w:val="29BA6A03"/>
    <w:rsid w:val="29BB67BC"/>
    <w:rsid w:val="29CA494B"/>
    <w:rsid w:val="29CB499A"/>
    <w:rsid w:val="29D649A2"/>
    <w:rsid w:val="29D6795C"/>
    <w:rsid w:val="29E02CD0"/>
    <w:rsid w:val="29EF50B4"/>
    <w:rsid w:val="2A003646"/>
    <w:rsid w:val="2A193797"/>
    <w:rsid w:val="2A3C5D4B"/>
    <w:rsid w:val="2A3E6302"/>
    <w:rsid w:val="2A7E6208"/>
    <w:rsid w:val="2AA32856"/>
    <w:rsid w:val="2AB64140"/>
    <w:rsid w:val="2ABC5E7E"/>
    <w:rsid w:val="2AF006FC"/>
    <w:rsid w:val="2AF56C51"/>
    <w:rsid w:val="2AFD5AAC"/>
    <w:rsid w:val="2B086EDD"/>
    <w:rsid w:val="2B0D0244"/>
    <w:rsid w:val="2B1C6228"/>
    <w:rsid w:val="2B2530C4"/>
    <w:rsid w:val="2B313EA5"/>
    <w:rsid w:val="2B3364D3"/>
    <w:rsid w:val="2B530918"/>
    <w:rsid w:val="2B6E2CFE"/>
    <w:rsid w:val="2B8D3A2F"/>
    <w:rsid w:val="2B9269F6"/>
    <w:rsid w:val="2BA06041"/>
    <w:rsid w:val="2BA37570"/>
    <w:rsid w:val="2BEE412C"/>
    <w:rsid w:val="2C8C23ED"/>
    <w:rsid w:val="2CAE5797"/>
    <w:rsid w:val="2CD1313F"/>
    <w:rsid w:val="2CE24BA3"/>
    <w:rsid w:val="2CE263DE"/>
    <w:rsid w:val="2D00313A"/>
    <w:rsid w:val="2D2229F3"/>
    <w:rsid w:val="2D2803C4"/>
    <w:rsid w:val="2D2F53BE"/>
    <w:rsid w:val="2D3C2E73"/>
    <w:rsid w:val="2D614D61"/>
    <w:rsid w:val="2D89792D"/>
    <w:rsid w:val="2D8D7815"/>
    <w:rsid w:val="2D903178"/>
    <w:rsid w:val="2DA43B52"/>
    <w:rsid w:val="2DAC1FD6"/>
    <w:rsid w:val="2DC02958"/>
    <w:rsid w:val="2DD230C2"/>
    <w:rsid w:val="2DF6341B"/>
    <w:rsid w:val="2DF65CE9"/>
    <w:rsid w:val="2E091DC8"/>
    <w:rsid w:val="2E096910"/>
    <w:rsid w:val="2E193F89"/>
    <w:rsid w:val="2E1A68B2"/>
    <w:rsid w:val="2E485C93"/>
    <w:rsid w:val="2E4D770D"/>
    <w:rsid w:val="2E53009D"/>
    <w:rsid w:val="2E68165B"/>
    <w:rsid w:val="2E6C19B9"/>
    <w:rsid w:val="2E7D6E5C"/>
    <w:rsid w:val="2EA52572"/>
    <w:rsid w:val="2EAB7944"/>
    <w:rsid w:val="2EBF3A7C"/>
    <w:rsid w:val="2EDB70EE"/>
    <w:rsid w:val="2F044604"/>
    <w:rsid w:val="2F213562"/>
    <w:rsid w:val="2F2D1E00"/>
    <w:rsid w:val="2F543443"/>
    <w:rsid w:val="2F5A1A72"/>
    <w:rsid w:val="2F666B54"/>
    <w:rsid w:val="2F7A0EF1"/>
    <w:rsid w:val="2F9A5C84"/>
    <w:rsid w:val="2FAE580D"/>
    <w:rsid w:val="2FD424A4"/>
    <w:rsid w:val="2FFA7C9C"/>
    <w:rsid w:val="30156CA5"/>
    <w:rsid w:val="303C0AE9"/>
    <w:rsid w:val="306C39A4"/>
    <w:rsid w:val="307A799F"/>
    <w:rsid w:val="30971CEC"/>
    <w:rsid w:val="30A249FF"/>
    <w:rsid w:val="30C95ED9"/>
    <w:rsid w:val="30CB5FB8"/>
    <w:rsid w:val="30D5415D"/>
    <w:rsid w:val="30D91FC4"/>
    <w:rsid w:val="310A5158"/>
    <w:rsid w:val="31223DEA"/>
    <w:rsid w:val="312A5C5A"/>
    <w:rsid w:val="31446D41"/>
    <w:rsid w:val="314C6561"/>
    <w:rsid w:val="31503727"/>
    <w:rsid w:val="3157696D"/>
    <w:rsid w:val="316530BA"/>
    <w:rsid w:val="318E31A3"/>
    <w:rsid w:val="319548E4"/>
    <w:rsid w:val="319D49D8"/>
    <w:rsid w:val="31C45221"/>
    <w:rsid w:val="31E421B3"/>
    <w:rsid w:val="31EB2E6F"/>
    <w:rsid w:val="31F358C8"/>
    <w:rsid w:val="322B183A"/>
    <w:rsid w:val="322D0EC6"/>
    <w:rsid w:val="322D7FBE"/>
    <w:rsid w:val="325806A6"/>
    <w:rsid w:val="32645B2D"/>
    <w:rsid w:val="326C6DCF"/>
    <w:rsid w:val="326F00F2"/>
    <w:rsid w:val="32841C68"/>
    <w:rsid w:val="328E0655"/>
    <w:rsid w:val="328E4F80"/>
    <w:rsid w:val="32977FCB"/>
    <w:rsid w:val="32A10DD3"/>
    <w:rsid w:val="32A737B0"/>
    <w:rsid w:val="32B93DAF"/>
    <w:rsid w:val="32C66A25"/>
    <w:rsid w:val="32CD6B2E"/>
    <w:rsid w:val="32D4506E"/>
    <w:rsid w:val="32D63584"/>
    <w:rsid w:val="32DB6C95"/>
    <w:rsid w:val="33063E41"/>
    <w:rsid w:val="330F2030"/>
    <w:rsid w:val="33131169"/>
    <w:rsid w:val="33382EF0"/>
    <w:rsid w:val="333C31AB"/>
    <w:rsid w:val="333D4EAD"/>
    <w:rsid w:val="334F6DF8"/>
    <w:rsid w:val="335242B0"/>
    <w:rsid w:val="33783510"/>
    <w:rsid w:val="339C4B86"/>
    <w:rsid w:val="33A53242"/>
    <w:rsid w:val="33B2007F"/>
    <w:rsid w:val="33B61B61"/>
    <w:rsid w:val="33C06A6A"/>
    <w:rsid w:val="33D5330B"/>
    <w:rsid w:val="33F04EB3"/>
    <w:rsid w:val="33F76D8C"/>
    <w:rsid w:val="34280126"/>
    <w:rsid w:val="34281EAD"/>
    <w:rsid w:val="342B599A"/>
    <w:rsid w:val="34374C69"/>
    <w:rsid w:val="34385B80"/>
    <w:rsid w:val="343A3C3B"/>
    <w:rsid w:val="343F2829"/>
    <w:rsid w:val="343F2BEC"/>
    <w:rsid w:val="344076EB"/>
    <w:rsid w:val="34435614"/>
    <w:rsid w:val="344E301D"/>
    <w:rsid w:val="34530C43"/>
    <w:rsid w:val="34566758"/>
    <w:rsid w:val="3475253D"/>
    <w:rsid w:val="3496709A"/>
    <w:rsid w:val="34D055D7"/>
    <w:rsid w:val="34EB38E5"/>
    <w:rsid w:val="34ED13DB"/>
    <w:rsid w:val="34EE5120"/>
    <w:rsid w:val="35051951"/>
    <w:rsid w:val="35223FC8"/>
    <w:rsid w:val="353B4D18"/>
    <w:rsid w:val="35416D0B"/>
    <w:rsid w:val="355223A3"/>
    <w:rsid w:val="355907C6"/>
    <w:rsid w:val="355B10A2"/>
    <w:rsid w:val="35647270"/>
    <w:rsid w:val="356E55DB"/>
    <w:rsid w:val="356F026A"/>
    <w:rsid w:val="35976C46"/>
    <w:rsid w:val="35981774"/>
    <w:rsid w:val="35CE4608"/>
    <w:rsid w:val="35DD16D9"/>
    <w:rsid w:val="35DE2CD1"/>
    <w:rsid w:val="35E20AF1"/>
    <w:rsid w:val="35E908DE"/>
    <w:rsid w:val="35F829AE"/>
    <w:rsid w:val="360578BC"/>
    <w:rsid w:val="363E1ADF"/>
    <w:rsid w:val="36572A90"/>
    <w:rsid w:val="365A4581"/>
    <w:rsid w:val="365B46C2"/>
    <w:rsid w:val="366868A4"/>
    <w:rsid w:val="36755697"/>
    <w:rsid w:val="36AD291F"/>
    <w:rsid w:val="36C9030D"/>
    <w:rsid w:val="36DA5901"/>
    <w:rsid w:val="36E70EB0"/>
    <w:rsid w:val="36F00B96"/>
    <w:rsid w:val="36F82FFB"/>
    <w:rsid w:val="370C0811"/>
    <w:rsid w:val="37745BCB"/>
    <w:rsid w:val="37805058"/>
    <w:rsid w:val="378D3EFA"/>
    <w:rsid w:val="37960810"/>
    <w:rsid w:val="37AE371C"/>
    <w:rsid w:val="37DA6DE3"/>
    <w:rsid w:val="37E83865"/>
    <w:rsid w:val="37E954E8"/>
    <w:rsid w:val="37FF355D"/>
    <w:rsid w:val="3820470B"/>
    <w:rsid w:val="38300D40"/>
    <w:rsid w:val="384870BF"/>
    <w:rsid w:val="385765E1"/>
    <w:rsid w:val="38584143"/>
    <w:rsid w:val="387D1277"/>
    <w:rsid w:val="387E43F0"/>
    <w:rsid w:val="388850BD"/>
    <w:rsid w:val="38A72E64"/>
    <w:rsid w:val="38B55B0A"/>
    <w:rsid w:val="38C4354B"/>
    <w:rsid w:val="38C82878"/>
    <w:rsid w:val="38C84843"/>
    <w:rsid w:val="38C867FC"/>
    <w:rsid w:val="38D73479"/>
    <w:rsid w:val="38F669F2"/>
    <w:rsid w:val="39045D43"/>
    <w:rsid w:val="390571CE"/>
    <w:rsid w:val="390B75A6"/>
    <w:rsid w:val="390E03FF"/>
    <w:rsid w:val="3911526F"/>
    <w:rsid w:val="39163F1C"/>
    <w:rsid w:val="39234638"/>
    <w:rsid w:val="39495B55"/>
    <w:rsid w:val="397A3AEB"/>
    <w:rsid w:val="39983564"/>
    <w:rsid w:val="399D49FE"/>
    <w:rsid w:val="39A724B6"/>
    <w:rsid w:val="39C203A4"/>
    <w:rsid w:val="39D503E2"/>
    <w:rsid w:val="3A1767B6"/>
    <w:rsid w:val="3A1F63A7"/>
    <w:rsid w:val="3A3C48C1"/>
    <w:rsid w:val="3A4027EB"/>
    <w:rsid w:val="3A483A29"/>
    <w:rsid w:val="3A5F1E0B"/>
    <w:rsid w:val="3A6F2784"/>
    <w:rsid w:val="3A72563A"/>
    <w:rsid w:val="3A9E5847"/>
    <w:rsid w:val="3ABD29BB"/>
    <w:rsid w:val="3AE5580A"/>
    <w:rsid w:val="3AE665C8"/>
    <w:rsid w:val="3AE71EEE"/>
    <w:rsid w:val="3AF16B93"/>
    <w:rsid w:val="3AF45D75"/>
    <w:rsid w:val="3AF668A6"/>
    <w:rsid w:val="3B075E11"/>
    <w:rsid w:val="3B20167A"/>
    <w:rsid w:val="3B244D93"/>
    <w:rsid w:val="3B301B78"/>
    <w:rsid w:val="3B3961E8"/>
    <w:rsid w:val="3B5D722D"/>
    <w:rsid w:val="3B632B72"/>
    <w:rsid w:val="3B88456D"/>
    <w:rsid w:val="3B8C3312"/>
    <w:rsid w:val="3B9846F2"/>
    <w:rsid w:val="3BBC05A6"/>
    <w:rsid w:val="3BBD34F3"/>
    <w:rsid w:val="3BDF439B"/>
    <w:rsid w:val="3BF20967"/>
    <w:rsid w:val="3BF97E6A"/>
    <w:rsid w:val="3BFE0A4A"/>
    <w:rsid w:val="3C363632"/>
    <w:rsid w:val="3C4C1C82"/>
    <w:rsid w:val="3C57442A"/>
    <w:rsid w:val="3C601F88"/>
    <w:rsid w:val="3C612377"/>
    <w:rsid w:val="3C7E6566"/>
    <w:rsid w:val="3CAD5473"/>
    <w:rsid w:val="3CB812C7"/>
    <w:rsid w:val="3CBA3035"/>
    <w:rsid w:val="3CD14138"/>
    <w:rsid w:val="3CE878D4"/>
    <w:rsid w:val="3CED7B94"/>
    <w:rsid w:val="3D0C2FDD"/>
    <w:rsid w:val="3D200395"/>
    <w:rsid w:val="3D2D265D"/>
    <w:rsid w:val="3D2E5CB8"/>
    <w:rsid w:val="3D302CFE"/>
    <w:rsid w:val="3D3C7286"/>
    <w:rsid w:val="3D4D7D7C"/>
    <w:rsid w:val="3D5E0F3A"/>
    <w:rsid w:val="3D665332"/>
    <w:rsid w:val="3D6F5952"/>
    <w:rsid w:val="3D740F71"/>
    <w:rsid w:val="3D754B16"/>
    <w:rsid w:val="3D7F22DE"/>
    <w:rsid w:val="3D823E5A"/>
    <w:rsid w:val="3D9335E4"/>
    <w:rsid w:val="3DB57174"/>
    <w:rsid w:val="3DC67EEF"/>
    <w:rsid w:val="3DD92960"/>
    <w:rsid w:val="3DF47314"/>
    <w:rsid w:val="3E1B35ED"/>
    <w:rsid w:val="3E2F2A37"/>
    <w:rsid w:val="3E3A0BB6"/>
    <w:rsid w:val="3E4767F9"/>
    <w:rsid w:val="3E566EA1"/>
    <w:rsid w:val="3E5F2B12"/>
    <w:rsid w:val="3E694708"/>
    <w:rsid w:val="3E7A0393"/>
    <w:rsid w:val="3EAE1526"/>
    <w:rsid w:val="3EB10384"/>
    <w:rsid w:val="3EC474D2"/>
    <w:rsid w:val="3F0F488F"/>
    <w:rsid w:val="3F2A667C"/>
    <w:rsid w:val="3F473ACD"/>
    <w:rsid w:val="3F4941AB"/>
    <w:rsid w:val="3F5D19BA"/>
    <w:rsid w:val="3F8C3E92"/>
    <w:rsid w:val="3FA970B0"/>
    <w:rsid w:val="3FAA7197"/>
    <w:rsid w:val="3FD57CAF"/>
    <w:rsid w:val="3FE55D7E"/>
    <w:rsid w:val="3FF17DAC"/>
    <w:rsid w:val="3FF658B3"/>
    <w:rsid w:val="3FF92718"/>
    <w:rsid w:val="400B4174"/>
    <w:rsid w:val="401005F4"/>
    <w:rsid w:val="40381838"/>
    <w:rsid w:val="404D4705"/>
    <w:rsid w:val="405875D1"/>
    <w:rsid w:val="40626E3A"/>
    <w:rsid w:val="406D6F5D"/>
    <w:rsid w:val="40937FB5"/>
    <w:rsid w:val="40973BFB"/>
    <w:rsid w:val="410100F2"/>
    <w:rsid w:val="41022A05"/>
    <w:rsid w:val="411E2A3F"/>
    <w:rsid w:val="412C24C1"/>
    <w:rsid w:val="416C1B09"/>
    <w:rsid w:val="41B2256E"/>
    <w:rsid w:val="421315DE"/>
    <w:rsid w:val="422A1414"/>
    <w:rsid w:val="423C4F99"/>
    <w:rsid w:val="424A0181"/>
    <w:rsid w:val="4270133F"/>
    <w:rsid w:val="427301E4"/>
    <w:rsid w:val="42781C4C"/>
    <w:rsid w:val="42814392"/>
    <w:rsid w:val="428F0C7C"/>
    <w:rsid w:val="42994059"/>
    <w:rsid w:val="42BF6A52"/>
    <w:rsid w:val="42C15D57"/>
    <w:rsid w:val="42C40CF0"/>
    <w:rsid w:val="42D04329"/>
    <w:rsid w:val="433A6742"/>
    <w:rsid w:val="433D408F"/>
    <w:rsid w:val="434366E2"/>
    <w:rsid w:val="43506E61"/>
    <w:rsid w:val="437447F9"/>
    <w:rsid w:val="43830364"/>
    <w:rsid w:val="438A0B2B"/>
    <w:rsid w:val="43CE223A"/>
    <w:rsid w:val="43D42FCB"/>
    <w:rsid w:val="43DF4E0D"/>
    <w:rsid w:val="44033156"/>
    <w:rsid w:val="44095828"/>
    <w:rsid w:val="443D3B2D"/>
    <w:rsid w:val="445F6943"/>
    <w:rsid w:val="448A425E"/>
    <w:rsid w:val="44904492"/>
    <w:rsid w:val="449B0BD6"/>
    <w:rsid w:val="44A37FFA"/>
    <w:rsid w:val="44A51FAE"/>
    <w:rsid w:val="44AD3B10"/>
    <w:rsid w:val="44B578F6"/>
    <w:rsid w:val="44C04D1E"/>
    <w:rsid w:val="450545EE"/>
    <w:rsid w:val="451354F0"/>
    <w:rsid w:val="452928F8"/>
    <w:rsid w:val="453A10BE"/>
    <w:rsid w:val="454774F5"/>
    <w:rsid w:val="45524A80"/>
    <w:rsid w:val="455B1877"/>
    <w:rsid w:val="456F1259"/>
    <w:rsid w:val="456F74A5"/>
    <w:rsid w:val="458B538F"/>
    <w:rsid w:val="45B77C5D"/>
    <w:rsid w:val="45D8502E"/>
    <w:rsid w:val="45DD312C"/>
    <w:rsid w:val="45F20033"/>
    <w:rsid w:val="4603504B"/>
    <w:rsid w:val="46180ABF"/>
    <w:rsid w:val="461C5BD2"/>
    <w:rsid w:val="461F327A"/>
    <w:rsid w:val="46270D3B"/>
    <w:rsid w:val="463E68C4"/>
    <w:rsid w:val="464E15D4"/>
    <w:rsid w:val="46543DA3"/>
    <w:rsid w:val="4663470A"/>
    <w:rsid w:val="46A773BF"/>
    <w:rsid w:val="46B73CC2"/>
    <w:rsid w:val="46C637DF"/>
    <w:rsid w:val="46CE0D4B"/>
    <w:rsid w:val="46CE0F52"/>
    <w:rsid w:val="46D313FE"/>
    <w:rsid w:val="46E91F39"/>
    <w:rsid w:val="46FB12CE"/>
    <w:rsid w:val="472430B0"/>
    <w:rsid w:val="47596439"/>
    <w:rsid w:val="47677B6E"/>
    <w:rsid w:val="476B11F1"/>
    <w:rsid w:val="47B514F2"/>
    <w:rsid w:val="47BA0DAE"/>
    <w:rsid w:val="47C003AC"/>
    <w:rsid w:val="47D26B6A"/>
    <w:rsid w:val="47D30598"/>
    <w:rsid w:val="47DE2103"/>
    <w:rsid w:val="47E94073"/>
    <w:rsid w:val="47FB7BF1"/>
    <w:rsid w:val="480326C9"/>
    <w:rsid w:val="48173721"/>
    <w:rsid w:val="482051C2"/>
    <w:rsid w:val="482413E5"/>
    <w:rsid w:val="48434581"/>
    <w:rsid w:val="484C1C91"/>
    <w:rsid w:val="488C2461"/>
    <w:rsid w:val="48AB50D2"/>
    <w:rsid w:val="48B36017"/>
    <w:rsid w:val="48C05174"/>
    <w:rsid w:val="490A2D38"/>
    <w:rsid w:val="491404CD"/>
    <w:rsid w:val="4932604A"/>
    <w:rsid w:val="495923F8"/>
    <w:rsid w:val="495C478A"/>
    <w:rsid w:val="49606EEF"/>
    <w:rsid w:val="4969701F"/>
    <w:rsid w:val="497E2F25"/>
    <w:rsid w:val="498E29B3"/>
    <w:rsid w:val="49A10042"/>
    <w:rsid w:val="49BF7671"/>
    <w:rsid w:val="49D577B5"/>
    <w:rsid w:val="49DB3AD1"/>
    <w:rsid w:val="4A0E4E67"/>
    <w:rsid w:val="4A1F08BA"/>
    <w:rsid w:val="4A3026E3"/>
    <w:rsid w:val="4A3041FF"/>
    <w:rsid w:val="4A541321"/>
    <w:rsid w:val="4A6E42F2"/>
    <w:rsid w:val="4A7116E9"/>
    <w:rsid w:val="4A7B2C0C"/>
    <w:rsid w:val="4AA067F6"/>
    <w:rsid w:val="4AAB66E6"/>
    <w:rsid w:val="4AB732AF"/>
    <w:rsid w:val="4B0417FC"/>
    <w:rsid w:val="4B063805"/>
    <w:rsid w:val="4B102C2E"/>
    <w:rsid w:val="4B1C6CFD"/>
    <w:rsid w:val="4B213FC3"/>
    <w:rsid w:val="4B277186"/>
    <w:rsid w:val="4B3A63A5"/>
    <w:rsid w:val="4B4324D3"/>
    <w:rsid w:val="4B6077B1"/>
    <w:rsid w:val="4B7418AE"/>
    <w:rsid w:val="4B76773A"/>
    <w:rsid w:val="4B881151"/>
    <w:rsid w:val="4B9007AC"/>
    <w:rsid w:val="4B9A3840"/>
    <w:rsid w:val="4BBD7493"/>
    <w:rsid w:val="4BBE03F0"/>
    <w:rsid w:val="4BC714C7"/>
    <w:rsid w:val="4BD35DA8"/>
    <w:rsid w:val="4BDC4BB5"/>
    <w:rsid w:val="4BE74E44"/>
    <w:rsid w:val="4BEA29C5"/>
    <w:rsid w:val="4C2F742C"/>
    <w:rsid w:val="4C310114"/>
    <w:rsid w:val="4C4251B2"/>
    <w:rsid w:val="4C6B2916"/>
    <w:rsid w:val="4C8D1EE1"/>
    <w:rsid w:val="4C9B26C3"/>
    <w:rsid w:val="4CAB268E"/>
    <w:rsid w:val="4CD3053E"/>
    <w:rsid w:val="4CE138D0"/>
    <w:rsid w:val="4D0749BB"/>
    <w:rsid w:val="4D0D419C"/>
    <w:rsid w:val="4D4A6C39"/>
    <w:rsid w:val="4D5468AD"/>
    <w:rsid w:val="4D5D2C55"/>
    <w:rsid w:val="4D705D71"/>
    <w:rsid w:val="4D852FF3"/>
    <w:rsid w:val="4D96024D"/>
    <w:rsid w:val="4DB57ABD"/>
    <w:rsid w:val="4DDA72C1"/>
    <w:rsid w:val="4DE162F1"/>
    <w:rsid w:val="4DE91041"/>
    <w:rsid w:val="4DFB1ADE"/>
    <w:rsid w:val="4E1512F3"/>
    <w:rsid w:val="4E171F9F"/>
    <w:rsid w:val="4E2907C4"/>
    <w:rsid w:val="4E2D46CB"/>
    <w:rsid w:val="4E466C77"/>
    <w:rsid w:val="4E4C46C4"/>
    <w:rsid w:val="4E535382"/>
    <w:rsid w:val="4E8C3218"/>
    <w:rsid w:val="4E9A5168"/>
    <w:rsid w:val="4EAC0E99"/>
    <w:rsid w:val="4EB00B56"/>
    <w:rsid w:val="4EB538A4"/>
    <w:rsid w:val="4ED70088"/>
    <w:rsid w:val="4F05581D"/>
    <w:rsid w:val="4F065088"/>
    <w:rsid w:val="4F267678"/>
    <w:rsid w:val="4F363CAD"/>
    <w:rsid w:val="4F4855AF"/>
    <w:rsid w:val="4F4D3239"/>
    <w:rsid w:val="4F7467ED"/>
    <w:rsid w:val="4F7B2D74"/>
    <w:rsid w:val="4F7F64E7"/>
    <w:rsid w:val="4FC30D5F"/>
    <w:rsid w:val="500718AD"/>
    <w:rsid w:val="503E3A07"/>
    <w:rsid w:val="504256CC"/>
    <w:rsid w:val="504A5794"/>
    <w:rsid w:val="504F0675"/>
    <w:rsid w:val="505209C9"/>
    <w:rsid w:val="505239DE"/>
    <w:rsid w:val="505545E7"/>
    <w:rsid w:val="505A2B09"/>
    <w:rsid w:val="506E0D49"/>
    <w:rsid w:val="50706CFA"/>
    <w:rsid w:val="508D6778"/>
    <w:rsid w:val="509D2702"/>
    <w:rsid w:val="50A00917"/>
    <w:rsid w:val="512A7419"/>
    <w:rsid w:val="512B4120"/>
    <w:rsid w:val="5141570F"/>
    <w:rsid w:val="517627E1"/>
    <w:rsid w:val="5188668F"/>
    <w:rsid w:val="519126C6"/>
    <w:rsid w:val="51986666"/>
    <w:rsid w:val="51992806"/>
    <w:rsid w:val="519A18A1"/>
    <w:rsid w:val="51C96E08"/>
    <w:rsid w:val="51F13B51"/>
    <w:rsid w:val="5239072F"/>
    <w:rsid w:val="52507D90"/>
    <w:rsid w:val="525F3DD8"/>
    <w:rsid w:val="527518CD"/>
    <w:rsid w:val="528F00B2"/>
    <w:rsid w:val="529E4288"/>
    <w:rsid w:val="52C12155"/>
    <w:rsid w:val="52C662A7"/>
    <w:rsid w:val="52F50D45"/>
    <w:rsid w:val="530C3F81"/>
    <w:rsid w:val="532033B9"/>
    <w:rsid w:val="53281585"/>
    <w:rsid w:val="532D0AF6"/>
    <w:rsid w:val="53677B09"/>
    <w:rsid w:val="53784AF1"/>
    <w:rsid w:val="53854EBD"/>
    <w:rsid w:val="53BA0B43"/>
    <w:rsid w:val="53BE5B7D"/>
    <w:rsid w:val="53DC44A7"/>
    <w:rsid w:val="53E928E5"/>
    <w:rsid w:val="5402755E"/>
    <w:rsid w:val="54062B66"/>
    <w:rsid w:val="540665B6"/>
    <w:rsid w:val="542246F5"/>
    <w:rsid w:val="542A2006"/>
    <w:rsid w:val="544B1C4F"/>
    <w:rsid w:val="545B077E"/>
    <w:rsid w:val="547E2792"/>
    <w:rsid w:val="548528E1"/>
    <w:rsid w:val="549216F8"/>
    <w:rsid w:val="54B64E61"/>
    <w:rsid w:val="55233F64"/>
    <w:rsid w:val="552D1BF1"/>
    <w:rsid w:val="55313058"/>
    <w:rsid w:val="55367256"/>
    <w:rsid w:val="55446CE5"/>
    <w:rsid w:val="554E6582"/>
    <w:rsid w:val="55863A1B"/>
    <w:rsid w:val="55A62304"/>
    <w:rsid w:val="55F07516"/>
    <w:rsid w:val="55FE0263"/>
    <w:rsid w:val="5608516A"/>
    <w:rsid w:val="562B0232"/>
    <w:rsid w:val="562E7398"/>
    <w:rsid w:val="5633209C"/>
    <w:rsid w:val="565037F0"/>
    <w:rsid w:val="56876A6B"/>
    <w:rsid w:val="56B138A6"/>
    <w:rsid w:val="56DE119E"/>
    <w:rsid w:val="56E37593"/>
    <w:rsid w:val="56E826AA"/>
    <w:rsid w:val="56EC0CF6"/>
    <w:rsid w:val="57250B47"/>
    <w:rsid w:val="574E736D"/>
    <w:rsid w:val="576549D4"/>
    <w:rsid w:val="576E3732"/>
    <w:rsid w:val="577921DF"/>
    <w:rsid w:val="57796F47"/>
    <w:rsid w:val="579843E4"/>
    <w:rsid w:val="57A63105"/>
    <w:rsid w:val="57D86BA0"/>
    <w:rsid w:val="57E64CF0"/>
    <w:rsid w:val="580538F8"/>
    <w:rsid w:val="58587C29"/>
    <w:rsid w:val="586F4122"/>
    <w:rsid w:val="588160FD"/>
    <w:rsid w:val="58996F84"/>
    <w:rsid w:val="58B74A9A"/>
    <w:rsid w:val="58CE05BE"/>
    <w:rsid w:val="58D06073"/>
    <w:rsid w:val="59207EE9"/>
    <w:rsid w:val="59302D7A"/>
    <w:rsid w:val="593E4877"/>
    <w:rsid w:val="59604B9F"/>
    <w:rsid w:val="59711A24"/>
    <w:rsid w:val="597A0396"/>
    <w:rsid w:val="599C31FA"/>
    <w:rsid w:val="599C78D4"/>
    <w:rsid w:val="59D35655"/>
    <w:rsid w:val="59FB1E5D"/>
    <w:rsid w:val="5A0C1FDB"/>
    <w:rsid w:val="5A0C3989"/>
    <w:rsid w:val="5A0D3674"/>
    <w:rsid w:val="5A350CB6"/>
    <w:rsid w:val="5A5F68EC"/>
    <w:rsid w:val="5A7040FB"/>
    <w:rsid w:val="5A747868"/>
    <w:rsid w:val="5A7E68C1"/>
    <w:rsid w:val="5A875491"/>
    <w:rsid w:val="5AB771B2"/>
    <w:rsid w:val="5ABE48CF"/>
    <w:rsid w:val="5AD95E67"/>
    <w:rsid w:val="5AF27E67"/>
    <w:rsid w:val="5B0A1288"/>
    <w:rsid w:val="5B140D71"/>
    <w:rsid w:val="5B1A661F"/>
    <w:rsid w:val="5B343CDC"/>
    <w:rsid w:val="5B3E2AA3"/>
    <w:rsid w:val="5B601DE0"/>
    <w:rsid w:val="5B74569E"/>
    <w:rsid w:val="5B761F00"/>
    <w:rsid w:val="5B8C716C"/>
    <w:rsid w:val="5B960EE1"/>
    <w:rsid w:val="5B9F53D7"/>
    <w:rsid w:val="5BA75603"/>
    <w:rsid w:val="5BAC2899"/>
    <w:rsid w:val="5BAE567B"/>
    <w:rsid w:val="5BCE611D"/>
    <w:rsid w:val="5C106B4F"/>
    <w:rsid w:val="5C13448D"/>
    <w:rsid w:val="5C1979D7"/>
    <w:rsid w:val="5C343F41"/>
    <w:rsid w:val="5C3A4E24"/>
    <w:rsid w:val="5C4B064F"/>
    <w:rsid w:val="5C5219CE"/>
    <w:rsid w:val="5C857C86"/>
    <w:rsid w:val="5C8B78F5"/>
    <w:rsid w:val="5C924095"/>
    <w:rsid w:val="5CA85E44"/>
    <w:rsid w:val="5CB151CA"/>
    <w:rsid w:val="5CB33D61"/>
    <w:rsid w:val="5CCD2826"/>
    <w:rsid w:val="5CDF322E"/>
    <w:rsid w:val="5D1B3CBA"/>
    <w:rsid w:val="5D221B5C"/>
    <w:rsid w:val="5D2D6BCF"/>
    <w:rsid w:val="5D2F3529"/>
    <w:rsid w:val="5D304C29"/>
    <w:rsid w:val="5D364B28"/>
    <w:rsid w:val="5D3951A3"/>
    <w:rsid w:val="5D6F3074"/>
    <w:rsid w:val="5D7A18BE"/>
    <w:rsid w:val="5D8B47FD"/>
    <w:rsid w:val="5DA650FB"/>
    <w:rsid w:val="5DD46049"/>
    <w:rsid w:val="5DE15E76"/>
    <w:rsid w:val="5E045626"/>
    <w:rsid w:val="5E1C2F26"/>
    <w:rsid w:val="5E400669"/>
    <w:rsid w:val="5E526946"/>
    <w:rsid w:val="5E5A453C"/>
    <w:rsid w:val="5E742CC5"/>
    <w:rsid w:val="5E766E5A"/>
    <w:rsid w:val="5E9F65D6"/>
    <w:rsid w:val="5EB458FA"/>
    <w:rsid w:val="5ECC14FC"/>
    <w:rsid w:val="5ED070CE"/>
    <w:rsid w:val="5ED926E0"/>
    <w:rsid w:val="5EDA0054"/>
    <w:rsid w:val="5EDC053B"/>
    <w:rsid w:val="5F123DF0"/>
    <w:rsid w:val="5F24364F"/>
    <w:rsid w:val="5F4A0F00"/>
    <w:rsid w:val="5F6C2B6C"/>
    <w:rsid w:val="5F9246B0"/>
    <w:rsid w:val="5FBF2BCA"/>
    <w:rsid w:val="5FCE6C08"/>
    <w:rsid w:val="5FD54EFD"/>
    <w:rsid w:val="5FEA7263"/>
    <w:rsid w:val="5FF412D5"/>
    <w:rsid w:val="60315170"/>
    <w:rsid w:val="603D4548"/>
    <w:rsid w:val="60474E3B"/>
    <w:rsid w:val="60663FEC"/>
    <w:rsid w:val="6095353C"/>
    <w:rsid w:val="60980174"/>
    <w:rsid w:val="60B05A94"/>
    <w:rsid w:val="60BB54FC"/>
    <w:rsid w:val="60D24D4B"/>
    <w:rsid w:val="60E606AD"/>
    <w:rsid w:val="60EB1E8F"/>
    <w:rsid w:val="60F72DB9"/>
    <w:rsid w:val="610205F8"/>
    <w:rsid w:val="6118322B"/>
    <w:rsid w:val="61213BF1"/>
    <w:rsid w:val="613341D7"/>
    <w:rsid w:val="613827C6"/>
    <w:rsid w:val="61492056"/>
    <w:rsid w:val="615519E6"/>
    <w:rsid w:val="61594193"/>
    <w:rsid w:val="616C70E1"/>
    <w:rsid w:val="617D2C57"/>
    <w:rsid w:val="618734ED"/>
    <w:rsid w:val="61AD56AF"/>
    <w:rsid w:val="61B61720"/>
    <w:rsid w:val="61B83D5C"/>
    <w:rsid w:val="61C2574E"/>
    <w:rsid w:val="61D46C0F"/>
    <w:rsid w:val="61DC7606"/>
    <w:rsid w:val="623700B5"/>
    <w:rsid w:val="623D1111"/>
    <w:rsid w:val="62552C05"/>
    <w:rsid w:val="625B7370"/>
    <w:rsid w:val="625F69D6"/>
    <w:rsid w:val="626B5E4F"/>
    <w:rsid w:val="627445B3"/>
    <w:rsid w:val="62913C72"/>
    <w:rsid w:val="62A1321D"/>
    <w:rsid w:val="62A72C1E"/>
    <w:rsid w:val="62B3668B"/>
    <w:rsid w:val="62CD58EA"/>
    <w:rsid w:val="62D17AFA"/>
    <w:rsid w:val="62F312AA"/>
    <w:rsid w:val="63052EFC"/>
    <w:rsid w:val="631C5139"/>
    <w:rsid w:val="631E7338"/>
    <w:rsid w:val="63744437"/>
    <w:rsid w:val="63770A5A"/>
    <w:rsid w:val="63807425"/>
    <w:rsid w:val="6384305F"/>
    <w:rsid w:val="6385336A"/>
    <w:rsid w:val="63866C9E"/>
    <w:rsid w:val="638E2245"/>
    <w:rsid w:val="639E123C"/>
    <w:rsid w:val="63A3104A"/>
    <w:rsid w:val="63A63005"/>
    <w:rsid w:val="63AD6F8C"/>
    <w:rsid w:val="63D11A02"/>
    <w:rsid w:val="63E43C8D"/>
    <w:rsid w:val="64145114"/>
    <w:rsid w:val="641A54CA"/>
    <w:rsid w:val="642B7094"/>
    <w:rsid w:val="6438644C"/>
    <w:rsid w:val="644948F5"/>
    <w:rsid w:val="646833FC"/>
    <w:rsid w:val="649651E7"/>
    <w:rsid w:val="649F0202"/>
    <w:rsid w:val="64A62138"/>
    <w:rsid w:val="64AC61C4"/>
    <w:rsid w:val="64AF16E4"/>
    <w:rsid w:val="64C10252"/>
    <w:rsid w:val="64D255F6"/>
    <w:rsid w:val="64EC1A55"/>
    <w:rsid w:val="64FF2C49"/>
    <w:rsid w:val="651015F3"/>
    <w:rsid w:val="65321F80"/>
    <w:rsid w:val="65450559"/>
    <w:rsid w:val="65612754"/>
    <w:rsid w:val="657246A2"/>
    <w:rsid w:val="657F617E"/>
    <w:rsid w:val="65D94C76"/>
    <w:rsid w:val="65FB7F7E"/>
    <w:rsid w:val="65FD7094"/>
    <w:rsid w:val="660D7AA5"/>
    <w:rsid w:val="663956AA"/>
    <w:rsid w:val="66497D65"/>
    <w:rsid w:val="665A4639"/>
    <w:rsid w:val="66662BCD"/>
    <w:rsid w:val="66814660"/>
    <w:rsid w:val="668A1D20"/>
    <w:rsid w:val="66A33B6F"/>
    <w:rsid w:val="66B35945"/>
    <w:rsid w:val="66D36AD3"/>
    <w:rsid w:val="66E25AB6"/>
    <w:rsid w:val="66E97389"/>
    <w:rsid w:val="66ED43BE"/>
    <w:rsid w:val="67026CF4"/>
    <w:rsid w:val="67100C71"/>
    <w:rsid w:val="671A0F18"/>
    <w:rsid w:val="67214D98"/>
    <w:rsid w:val="67491058"/>
    <w:rsid w:val="675E747F"/>
    <w:rsid w:val="679927EE"/>
    <w:rsid w:val="67C85805"/>
    <w:rsid w:val="67E5744F"/>
    <w:rsid w:val="67E60082"/>
    <w:rsid w:val="67E84BFD"/>
    <w:rsid w:val="67F021D3"/>
    <w:rsid w:val="67F74755"/>
    <w:rsid w:val="67FE7E53"/>
    <w:rsid w:val="68037D7D"/>
    <w:rsid w:val="6813420B"/>
    <w:rsid w:val="68154A03"/>
    <w:rsid w:val="68172CDB"/>
    <w:rsid w:val="683346E4"/>
    <w:rsid w:val="6837005E"/>
    <w:rsid w:val="685750A7"/>
    <w:rsid w:val="685E3D8F"/>
    <w:rsid w:val="68704DEF"/>
    <w:rsid w:val="687D4BDD"/>
    <w:rsid w:val="689B6544"/>
    <w:rsid w:val="68A839E0"/>
    <w:rsid w:val="68AF3E33"/>
    <w:rsid w:val="68C073F3"/>
    <w:rsid w:val="68C836F5"/>
    <w:rsid w:val="68FC752A"/>
    <w:rsid w:val="69026033"/>
    <w:rsid w:val="691F087B"/>
    <w:rsid w:val="694744DD"/>
    <w:rsid w:val="697A713C"/>
    <w:rsid w:val="697F588D"/>
    <w:rsid w:val="69872359"/>
    <w:rsid w:val="69913FB2"/>
    <w:rsid w:val="69B45E2D"/>
    <w:rsid w:val="69DB1CC1"/>
    <w:rsid w:val="69E20CCE"/>
    <w:rsid w:val="69F6582E"/>
    <w:rsid w:val="6A3A2D07"/>
    <w:rsid w:val="6A440094"/>
    <w:rsid w:val="6A61766A"/>
    <w:rsid w:val="6A6E4A10"/>
    <w:rsid w:val="6A711B9D"/>
    <w:rsid w:val="6AB47BCE"/>
    <w:rsid w:val="6AC371AC"/>
    <w:rsid w:val="6B0E1A46"/>
    <w:rsid w:val="6B254341"/>
    <w:rsid w:val="6B401B55"/>
    <w:rsid w:val="6B6274C4"/>
    <w:rsid w:val="6B897A89"/>
    <w:rsid w:val="6B8D6847"/>
    <w:rsid w:val="6B8F7CFB"/>
    <w:rsid w:val="6B9A3C3E"/>
    <w:rsid w:val="6B9F17B1"/>
    <w:rsid w:val="6BA73CC9"/>
    <w:rsid w:val="6BAD5C68"/>
    <w:rsid w:val="6BBD7552"/>
    <w:rsid w:val="6BC956D2"/>
    <w:rsid w:val="6C28062E"/>
    <w:rsid w:val="6C3568B1"/>
    <w:rsid w:val="6C3D4920"/>
    <w:rsid w:val="6C4B0EEA"/>
    <w:rsid w:val="6C4B2D17"/>
    <w:rsid w:val="6C4E587C"/>
    <w:rsid w:val="6C585CDB"/>
    <w:rsid w:val="6C6B2DCE"/>
    <w:rsid w:val="6C6B78F3"/>
    <w:rsid w:val="6C797CFA"/>
    <w:rsid w:val="6C990C87"/>
    <w:rsid w:val="6C9F0979"/>
    <w:rsid w:val="6C9F7BB1"/>
    <w:rsid w:val="6CAE61CD"/>
    <w:rsid w:val="6CB4077C"/>
    <w:rsid w:val="6CBE0B18"/>
    <w:rsid w:val="6CD01B6C"/>
    <w:rsid w:val="6CD70A67"/>
    <w:rsid w:val="6CE251DD"/>
    <w:rsid w:val="6CEC114F"/>
    <w:rsid w:val="6CFC1180"/>
    <w:rsid w:val="6D094BB2"/>
    <w:rsid w:val="6D35182D"/>
    <w:rsid w:val="6D5C35BB"/>
    <w:rsid w:val="6D646985"/>
    <w:rsid w:val="6D9C509C"/>
    <w:rsid w:val="6DAA7DDF"/>
    <w:rsid w:val="6DBB6252"/>
    <w:rsid w:val="6DDE4B38"/>
    <w:rsid w:val="6DE54499"/>
    <w:rsid w:val="6DF05D38"/>
    <w:rsid w:val="6E0E0375"/>
    <w:rsid w:val="6E0F131E"/>
    <w:rsid w:val="6E121B4A"/>
    <w:rsid w:val="6E22772C"/>
    <w:rsid w:val="6E2C166B"/>
    <w:rsid w:val="6E35123D"/>
    <w:rsid w:val="6E496C21"/>
    <w:rsid w:val="6E7B0AA6"/>
    <w:rsid w:val="6E920343"/>
    <w:rsid w:val="6ED64B17"/>
    <w:rsid w:val="6EE7071A"/>
    <w:rsid w:val="6F0763EF"/>
    <w:rsid w:val="6F105693"/>
    <w:rsid w:val="6F204809"/>
    <w:rsid w:val="6F4D716A"/>
    <w:rsid w:val="6F8C2EB8"/>
    <w:rsid w:val="6F8D2864"/>
    <w:rsid w:val="6F906268"/>
    <w:rsid w:val="6F9A2E2A"/>
    <w:rsid w:val="6FA10C0C"/>
    <w:rsid w:val="6FA839AC"/>
    <w:rsid w:val="6FB809A1"/>
    <w:rsid w:val="6FC9569B"/>
    <w:rsid w:val="6FE9139F"/>
    <w:rsid w:val="70092BBB"/>
    <w:rsid w:val="700F72BA"/>
    <w:rsid w:val="70136588"/>
    <w:rsid w:val="70397E3C"/>
    <w:rsid w:val="705544DE"/>
    <w:rsid w:val="706753E2"/>
    <w:rsid w:val="706A2471"/>
    <w:rsid w:val="706D2DAA"/>
    <w:rsid w:val="70840D09"/>
    <w:rsid w:val="70C1466D"/>
    <w:rsid w:val="70D62C26"/>
    <w:rsid w:val="710B18C2"/>
    <w:rsid w:val="710C3324"/>
    <w:rsid w:val="710E4984"/>
    <w:rsid w:val="71117CFB"/>
    <w:rsid w:val="71235954"/>
    <w:rsid w:val="71656B0E"/>
    <w:rsid w:val="71B644BC"/>
    <w:rsid w:val="71CA725D"/>
    <w:rsid w:val="71D359FD"/>
    <w:rsid w:val="71F91C7D"/>
    <w:rsid w:val="71FC4EEA"/>
    <w:rsid w:val="722C7D25"/>
    <w:rsid w:val="723925CB"/>
    <w:rsid w:val="724B5F1A"/>
    <w:rsid w:val="72615B7F"/>
    <w:rsid w:val="72684B20"/>
    <w:rsid w:val="72890253"/>
    <w:rsid w:val="72917E48"/>
    <w:rsid w:val="72961811"/>
    <w:rsid w:val="72CB1D05"/>
    <w:rsid w:val="72D95B9B"/>
    <w:rsid w:val="72E10DD1"/>
    <w:rsid w:val="72FD096D"/>
    <w:rsid w:val="73281B73"/>
    <w:rsid w:val="732F39B9"/>
    <w:rsid w:val="732F4F3C"/>
    <w:rsid w:val="734A2949"/>
    <w:rsid w:val="73545380"/>
    <w:rsid w:val="735D412B"/>
    <w:rsid w:val="736F0443"/>
    <w:rsid w:val="736F11F2"/>
    <w:rsid w:val="73871AF0"/>
    <w:rsid w:val="738E689A"/>
    <w:rsid w:val="739D21B5"/>
    <w:rsid w:val="73B31286"/>
    <w:rsid w:val="73B80B07"/>
    <w:rsid w:val="73C235C8"/>
    <w:rsid w:val="73C3530D"/>
    <w:rsid w:val="73D44319"/>
    <w:rsid w:val="73E7310A"/>
    <w:rsid w:val="74016967"/>
    <w:rsid w:val="741F628D"/>
    <w:rsid w:val="74257759"/>
    <w:rsid w:val="742F39EC"/>
    <w:rsid w:val="74314EF6"/>
    <w:rsid w:val="7487381F"/>
    <w:rsid w:val="74AA5DAB"/>
    <w:rsid w:val="74DC177B"/>
    <w:rsid w:val="74E96FD0"/>
    <w:rsid w:val="74EA1B4F"/>
    <w:rsid w:val="74F10A3B"/>
    <w:rsid w:val="74F2681C"/>
    <w:rsid w:val="75103959"/>
    <w:rsid w:val="75537EC1"/>
    <w:rsid w:val="755B7366"/>
    <w:rsid w:val="758600AD"/>
    <w:rsid w:val="75A253D3"/>
    <w:rsid w:val="75AD6898"/>
    <w:rsid w:val="75B10D54"/>
    <w:rsid w:val="75D3035A"/>
    <w:rsid w:val="75DF0A8F"/>
    <w:rsid w:val="75E915B0"/>
    <w:rsid w:val="75EF79BD"/>
    <w:rsid w:val="7619500E"/>
    <w:rsid w:val="76337790"/>
    <w:rsid w:val="767A20A6"/>
    <w:rsid w:val="76817AD3"/>
    <w:rsid w:val="768503E5"/>
    <w:rsid w:val="768624C8"/>
    <w:rsid w:val="76DC4A4D"/>
    <w:rsid w:val="76E82371"/>
    <w:rsid w:val="76F922F5"/>
    <w:rsid w:val="770123B3"/>
    <w:rsid w:val="77116B93"/>
    <w:rsid w:val="77234AD2"/>
    <w:rsid w:val="772843C0"/>
    <w:rsid w:val="774218BD"/>
    <w:rsid w:val="77435D4D"/>
    <w:rsid w:val="774C4FF4"/>
    <w:rsid w:val="775F2763"/>
    <w:rsid w:val="77851890"/>
    <w:rsid w:val="77BD597C"/>
    <w:rsid w:val="77C8492A"/>
    <w:rsid w:val="77CC15FC"/>
    <w:rsid w:val="77CC34FF"/>
    <w:rsid w:val="77D800AF"/>
    <w:rsid w:val="77F7625D"/>
    <w:rsid w:val="78040E9D"/>
    <w:rsid w:val="78105874"/>
    <w:rsid w:val="781C0BF2"/>
    <w:rsid w:val="783608F4"/>
    <w:rsid w:val="783743AE"/>
    <w:rsid w:val="785876D1"/>
    <w:rsid w:val="786039AA"/>
    <w:rsid w:val="786E38FE"/>
    <w:rsid w:val="78732BA4"/>
    <w:rsid w:val="787B3C5B"/>
    <w:rsid w:val="78846FBA"/>
    <w:rsid w:val="78863300"/>
    <w:rsid w:val="78B929CB"/>
    <w:rsid w:val="79193984"/>
    <w:rsid w:val="79257106"/>
    <w:rsid w:val="7969387B"/>
    <w:rsid w:val="79710546"/>
    <w:rsid w:val="79B555C6"/>
    <w:rsid w:val="79D4454B"/>
    <w:rsid w:val="79D85304"/>
    <w:rsid w:val="79F409B3"/>
    <w:rsid w:val="7A005C81"/>
    <w:rsid w:val="7A50217C"/>
    <w:rsid w:val="7A5F329B"/>
    <w:rsid w:val="7A650B8D"/>
    <w:rsid w:val="7A777F9E"/>
    <w:rsid w:val="7A7B4DF9"/>
    <w:rsid w:val="7A933BF0"/>
    <w:rsid w:val="7A955EF3"/>
    <w:rsid w:val="7AA253ED"/>
    <w:rsid w:val="7AD67800"/>
    <w:rsid w:val="7ADD6A4D"/>
    <w:rsid w:val="7AE62FCD"/>
    <w:rsid w:val="7B087294"/>
    <w:rsid w:val="7B190966"/>
    <w:rsid w:val="7B26010B"/>
    <w:rsid w:val="7B3343CE"/>
    <w:rsid w:val="7B3A1070"/>
    <w:rsid w:val="7B494295"/>
    <w:rsid w:val="7B527702"/>
    <w:rsid w:val="7B543187"/>
    <w:rsid w:val="7B5D2DE0"/>
    <w:rsid w:val="7B6E1495"/>
    <w:rsid w:val="7B826D81"/>
    <w:rsid w:val="7B843AC9"/>
    <w:rsid w:val="7B8D286F"/>
    <w:rsid w:val="7BA228EB"/>
    <w:rsid w:val="7C0A6B1E"/>
    <w:rsid w:val="7C204E1F"/>
    <w:rsid w:val="7C5576A3"/>
    <w:rsid w:val="7C8772B9"/>
    <w:rsid w:val="7C8B1922"/>
    <w:rsid w:val="7CA85CBF"/>
    <w:rsid w:val="7CB13BCA"/>
    <w:rsid w:val="7CB875CC"/>
    <w:rsid w:val="7CBF07D6"/>
    <w:rsid w:val="7CC70668"/>
    <w:rsid w:val="7CD40ABE"/>
    <w:rsid w:val="7CDA0386"/>
    <w:rsid w:val="7CEB3FB6"/>
    <w:rsid w:val="7D0F013A"/>
    <w:rsid w:val="7D120611"/>
    <w:rsid w:val="7D1B6F0D"/>
    <w:rsid w:val="7D271A1A"/>
    <w:rsid w:val="7D2C7544"/>
    <w:rsid w:val="7D4249A6"/>
    <w:rsid w:val="7D7E3830"/>
    <w:rsid w:val="7D9E43ED"/>
    <w:rsid w:val="7DA66C6C"/>
    <w:rsid w:val="7DFD57BD"/>
    <w:rsid w:val="7DFD63F2"/>
    <w:rsid w:val="7E2F0F8A"/>
    <w:rsid w:val="7E4D49FC"/>
    <w:rsid w:val="7E534A78"/>
    <w:rsid w:val="7E6A2F92"/>
    <w:rsid w:val="7E732C0A"/>
    <w:rsid w:val="7E8B1A5F"/>
    <w:rsid w:val="7EBB73F0"/>
    <w:rsid w:val="7ECE4C0B"/>
    <w:rsid w:val="7ECF742D"/>
    <w:rsid w:val="7EFD3FF3"/>
    <w:rsid w:val="7F050BF2"/>
    <w:rsid w:val="7F096608"/>
    <w:rsid w:val="7F524E43"/>
    <w:rsid w:val="7F5C6195"/>
    <w:rsid w:val="7F7C4D94"/>
    <w:rsid w:val="7F851592"/>
    <w:rsid w:val="7FA22B9D"/>
    <w:rsid w:val="7FBA1F6C"/>
    <w:rsid w:val="7FDB7F80"/>
    <w:rsid w:val="7FEB15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FollowedHyperlink"/>
    <w:basedOn w:val="13"/>
    <w:qFormat/>
    <w:uiPriority w:val="0"/>
    <w:rPr>
      <w:color w:val="333333"/>
      <w:u w:val="none"/>
    </w:rPr>
  </w:style>
  <w:style w:type="character" w:styleId="16">
    <w:name w:val="Emphasis"/>
    <w:basedOn w:val="13"/>
    <w:qFormat/>
    <w:uiPriority w:val="0"/>
  </w:style>
  <w:style w:type="character" w:styleId="17">
    <w:name w:val="Hyperlink"/>
    <w:basedOn w:val="13"/>
    <w:qFormat/>
    <w:uiPriority w:val="0"/>
    <w:rPr>
      <w:color w:val="333333"/>
      <w:u w:val="none"/>
    </w:rPr>
  </w:style>
  <w:style w:type="paragraph" w:customStyle="1" w:styleId="18">
    <w:name w:val="WPSOffice手动目录 1"/>
    <w:qFormat/>
    <w:uiPriority w:val="0"/>
    <w:pPr>
      <w:ind w:leftChars="0"/>
    </w:pPr>
    <w:rPr>
      <w:rFonts w:asciiTheme="minorHAnsi" w:hAnsiTheme="minorHAnsi" w:eastAsiaTheme="minorEastAsia" w:cstheme="minorBidi"/>
      <w:sz w:val="20"/>
      <w:szCs w:val="20"/>
    </w:rPr>
  </w:style>
  <w:style w:type="paragraph" w:customStyle="1" w:styleId="19">
    <w:name w:val="WPSOffice手动目录 2"/>
    <w:qFormat/>
    <w:uiPriority w:val="0"/>
    <w:pPr>
      <w:ind w:leftChars="200"/>
    </w:pPr>
    <w:rPr>
      <w:rFonts w:asciiTheme="minorHAnsi" w:hAnsiTheme="minorHAnsi" w:eastAsiaTheme="minorEastAsia" w:cstheme="minorBidi"/>
      <w:sz w:val="20"/>
      <w:szCs w:val="20"/>
    </w:rPr>
  </w:style>
  <w:style w:type="paragraph" w:customStyle="1" w:styleId="20">
    <w:name w:val="WPSOffice手动目录 3"/>
    <w:qFormat/>
    <w:uiPriority w:val="0"/>
    <w:pPr>
      <w:ind w:leftChars="400"/>
    </w:pPr>
    <w:rPr>
      <w:rFonts w:asciiTheme="minorHAnsi" w:hAnsiTheme="minorHAnsi" w:eastAsiaTheme="minorEastAsia" w:cstheme="minorBidi"/>
      <w:sz w:val="20"/>
      <w:szCs w:val="20"/>
    </w:rPr>
  </w:style>
  <w:style w:type="character" w:customStyle="1" w:styleId="21">
    <w:name w:val="bsharetext"/>
    <w:basedOn w:val="13"/>
    <w:qFormat/>
    <w:uiPriority w:val="0"/>
  </w:style>
  <w:style w:type="character" w:customStyle="1" w:styleId="22">
    <w:name w:val="on"/>
    <w:basedOn w:val="13"/>
    <w:qFormat/>
    <w:uiPriority w:val="0"/>
    <w:rPr>
      <w:shd w:val="clear" w:fill="FFFFFF"/>
    </w:rPr>
  </w:style>
  <w:style w:type="paragraph" w:customStyle="1" w:styleId="23">
    <w:name w:val="_Style 22"/>
    <w:basedOn w:val="1"/>
    <w:next w:val="1"/>
    <w:qFormat/>
    <w:uiPriority w:val="0"/>
    <w:pPr>
      <w:pBdr>
        <w:bottom w:val="single" w:color="auto" w:sz="6" w:space="1"/>
      </w:pBdr>
      <w:jc w:val="center"/>
    </w:pPr>
    <w:rPr>
      <w:rFonts w:ascii="Arial" w:eastAsia="宋体"/>
      <w:vanish/>
      <w:sz w:val="16"/>
    </w:rPr>
  </w:style>
  <w:style w:type="paragraph" w:customStyle="1" w:styleId="24">
    <w:name w:val="_Style 23"/>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小鹿</cp:lastModifiedBy>
  <dcterms:modified xsi:type="dcterms:W3CDTF">2021-03-31T01:59:46Z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KSOSaveFontToCloudKey">
    <vt:lpwstr>341171657_btnclosed</vt:lpwstr>
  </property>
  <property fmtid="{D5CDD505-2E9C-101B-9397-08002B2CF9AE}" pid="4" name="ICV">
    <vt:lpwstr>888CB326EC1747A594B41DAFCED7B328</vt:lpwstr>
  </property>
</Properties>
</file>